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4"/>
        <w:jc w:val="center"/>
        <w:rPr>
          <w:rFonts w:ascii="方正小标宋简体" w:hAnsi="Century Gothic" w:eastAsia="方正小标宋简体"/>
          <w:color w:val="FF0000"/>
          <w:spacing w:val="30"/>
          <w:sz w:val="60"/>
          <w:szCs w:val="60"/>
          <w:shd w:val="clear" w:color="auto" w:fill="auto"/>
        </w:rPr>
      </w:pPr>
      <w:bookmarkStart w:id="4" w:name="_GoBack"/>
      <w:r>
        <w:rPr>
          <w:rFonts w:hint="eastAsia" w:ascii="方正小标宋简体" w:hAnsi="Century Gothic" w:eastAsia="方正小标宋简体"/>
          <w:color w:val="FF0000"/>
          <w:spacing w:val="30"/>
          <w:sz w:val="60"/>
          <w:szCs w:val="60"/>
          <w:shd w:val="clear" w:color="auto" w:fill="auto"/>
        </w:rPr>
        <w:t>国家税务总局乌苏市税务局</w:t>
      </w:r>
    </w:p>
    <w:p>
      <w:pPr>
        <w:keepNext w:val="0"/>
        <w:keepLines w:val="0"/>
        <w:pageBreakBefore w:val="0"/>
        <w:widowControl w:val="0"/>
        <w:kinsoku/>
        <w:wordWrap/>
        <w:overflowPunct/>
        <w:topLinePunct w:val="0"/>
        <w:autoSpaceDE/>
        <w:autoSpaceDN/>
        <w:bidi w:val="0"/>
        <w:adjustRightInd/>
        <w:snapToGrid/>
        <w:spacing w:line="560" w:lineRule="exact"/>
        <w:ind w:right="310"/>
        <w:textAlignment w:val="auto"/>
        <w:rPr>
          <w:rFonts w:ascii="仿宋_GB2312"/>
          <w:sz w:val="32"/>
          <w:szCs w:val="32"/>
          <w:shd w:val="clear" w:color="auto" w:fill="auto"/>
        </w:rPr>
      </w:pPr>
      <w:r>
        <w:rPr>
          <w:rFonts w:ascii="黑体" w:eastAsia="黑体"/>
          <w:color w:val="FF0000"/>
          <w:spacing w:val="30"/>
          <w:sz w:val="32"/>
          <w:szCs w:val="32"/>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0</wp:posOffset>
                </wp:positionV>
                <wp:extent cx="6120130" cy="0"/>
                <wp:effectExtent l="0" t="26670" r="13970" b="3048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3975"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pt;margin-top:0pt;height:0pt;width:481.9pt;z-index:251659264;mso-width-relative:page;mso-height-relative:page;" filled="f" stroked="t" coordsize="21600,21600" o:gfxdata="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BgLbTAAAABQEAAA8AAAAAAAAAAQAgAAAAIgAAAGRycy9kb3ducmV2&#10;LnhtbFBLAQIUABQAAAAIAIdO4kALXx0BAQIAAPkDAAAOAAAAAAAAAAEAIAAAACIBAABkcnMvZTJv&#10;RG9jLnhtbFBLBQYAAAAABgAGAFkBAACVBQAAAAA=&#10;">
                <v:fill on="f" focussize="0,0"/>
                <v:stroke weight="4.25pt" color="#FF0000" linestyle="thickThin"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shd w:val="clear" w:color="auto" w:fill="auto"/>
          <w:lang w:eastAsia="zh-CN"/>
        </w:rPr>
      </w:pPr>
      <w:r>
        <w:rPr>
          <w:rFonts w:hint="eastAsia" w:ascii="方正小标宋简体" w:hAnsi="方正小标宋简体" w:eastAsia="方正小标宋简体" w:cs="方正小标宋简体"/>
          <w:color w:val="auto"/>
          <w:sz w:val="36"/>
          <w:szCs w:val="36"/>
          <w:shd w:val="clear" w:color="auto" w:fill="auto"/>
          <w:lang w:eastAsia="zh-CN"/>
        </w:rPr>
        <w:t>国家税务总局乌苏市税务局</w:t>
      </w:r>
      <w:r>
        <w:rPr>
          <w:rFonts w:hint="eastAsia" w:ascii="方正小标宋简体" w:hAnsi="方正小标宋简体" w:eastAsia="方正小标宋简体" w:cs="方正小标宋简体"/>
          <w:color w:val="auto"/>
          <w:sz w:val="36"/>
          <w:szCs w:val="36"/>
          <w:shd w:val="clear" w:color="auto" w:fill="auto"/>
          <w:lang w:val="en-US" w:eastAsia="zh-CN"/>
        </w:rPr>
        <w:t>2023年</w:t>
      </w:r>
      <w:r>
        <w:rPr>
          <w:rFonts w:hint="eastAsia" w:ascii="方正小标宋简体" w:hAnsi="方正小标宋简体" w:eastAsia="方正小标宋简体" w:cs="方正小标宋简体"/>
          <w:color w:val="auto"/>
          <w:sz w:val="36"/>
          <w:szCs w:val="36"/>
          <w:shd w:val="clear" w:color="auto" w:fill="auto"/>
          <w:lang w:eastAsia="zh-CN"/>
        </w:rPr>
        <w:t>法治政府建设</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shd w:val="clear" w:color="auto" w:fill="auto"/>
          <w:lang w:val="en-US" w:eastAsia="zh-CN"/>
        </w:rPr>
      </w:pPr>
      <w:r>
        <w:rPr>
          <w:rFonts w:hint="eastAsia" w:ascii="方正小标宋简体" w:hAnsi="方正小标宋简体" w:eastAsia="方正小标宋简体" w:cs="方正小标宋简体"/>
          <w:color w:val="auto"/>
          <w:sz w:val="36"/>
          <w:szCs w:val="36"/>
          <w:shd w:val="clear" w:color="auto" w:fill="auto"/>
          <w:lang w:eastAsia="zh-CN"/>
        </w:rPr>
        <w:t>工作报告</w:t>
      </w:r>
    </w:p>
    <w:p>
      <w:pPr>
        <w:pStyle w:val="11"/>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cs="Times New Roman"/>
          <w:color w:val="auto"/>
          <w:sz w:val="32"/>
          <w:szCs w:val="32"/>
          <w:shd w:val="clear" w:color="auto" w:fill="auto"/>
          <w:lang w:val="en-US" w:eastAsia="zh-CN"/>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eastAsia="zh-CN"/>
        </w:rPr>
        <w:t>为</w:t>
      </w:r>
      <w:r>
        <w:rPr>
          <w:rFonts w:hint="eastAsia" w:ascii="仿宋_GB2312" w:hAnsi="仿宋_GB2312" w:eastAsia="仿宋_GB2312" w:cs="仿宋_GB2312"/>
          <w:sz w:val="32"/>
          <w:szCs w:val="32"/>
          <w:shd w:val="clear" w:color="auto" w:fill="auto"/>
        </w:rPr>
        <w:t>深入推进“八五”普法规划和决议</w:t>
      </w:r>
      <w:r>
        <w:rPr>
          <w:rFonts w:hint="eastAsia" w:ascii="仿宋_GB2312" w:hAnsi="仿宋_GB2312" w:eastAsia="仿宋_GB2312" w:cs="仿宋_GB2312"/>
          <w:sz w:val="32"/>
          <w:szCs w:val="32"/>
          <w:shd w:val="clear" w:color="auto" w:fill="auto"/>
          <w:lang w:eastAsia="zh-CN"/>
        </w:rPr>
        <w:t>的</w:t>
      </w:r>
      <w:r>
        <w:rPr>
          <w:rFonts w:hint="eastAsia" w:ascii="仿宋_GB2312" w:hAnsi="仿宋_GB2312" w:eastAsia="仿宋_GB2312" w:cs="仿宋_GB2312"/>
          <w:sz w:val="32"/>
          <w:szCs w:val="32"/>
          <w:shd w:val="clear" w:color="auto" w:fill="auto"/>
        </w:rPr>
        <w:t>贯彻落实，</w:t>
      </w:r>
      <w:r>
        <w:rPr>
          <w:rFonts w:hint="eastAsia" w:ascii="仿宋_GB2312" w:hAnsi="仿宋_GB2312" w:eastAsia="仿宋_GB2312" w:cs="仿宋_GB2312"/>
          <w:sz w:val="32"/>
          <w:szCs w:val="32"/>
          <w:shd w:val="clear" w:color="auto" w:fill="auto"/>
          <w:lang w:eastAsia="zh-CN"/>
        </w:rPr>
        <w:t>乌苏市税务局</w:t>
      </w:r>
      <w:r>
        <w:rPr>
          <w:rFonts w:hint="eastAsia" w:ascii="仿宋_GB2312" w:hAnsi="仿宋_GB2312" w:eastAsia="仿宋_GB2312" w:cs="仿宋_GB2312"/>
          <w:sz w:val="32"/>
          <w:szCs w:val="32"/>
          <w:shd w:val="clear" w:color="auto" w:fill="auto"/>
        </w:rPr>
        <w:t>深入学习宣传贯彻习近平法治思想，全面贯彻落实</w:t>
      </w:r>
      <w:bookmarkStart w:id="0" w:name="hmcheck_011fa8a519ad454faf6ca1d207d9fe44"/>
      <w:r>
        <w:rPr>
          <w:rFonts w:hint="eastAsia" w:hAnsi="仿宋_GB2312" w:cs="仿宋_GB2312"/>
          <w:sz w:val="32"/>
          <w:szCs w:val="32"/>
          <w:shd w:val="clear" w:color="auto" w:fill="auto"/>
          <w:lang w:eastAsia="zh-CN"/>
        </w:rPr>
        <w:t>党的二十大</w:t>
      </w:r>
      <w:bookmarkEnd w:id="0"/>
      <w:r>
        <w:rPr>
          <w:rFonts w:hint="eastAsia" w:ascii="仿宋_GB2312" w:hAnsi="仿宋_GB2312" w:eastAsia="仿宋_GB2312" w:cs="仿宋_GB2312"/>
          <w:sz w:val="32"/>
          <w:szCs w:val="32"/>
          <w:shd w:val="clear" w:color="auto" w:fill="auto"/>
        </w:rPr>
        <w:t>和十九届历次全会精神，拥护“两个确立”，做到“两个维护”，坚持党的全面领导，坚持以人民为中心，坚持围绕中心、服务大局，紧紧围绕宣传、贯彻</w:t>
      </w:r>
      <w:bookmarkStart w:id="1" w:name="hmcheck_9bbd889d855a4572ba43119b34adad3c"/>
      <w:r>
        <w:rPr>
          <w:rFonts w:hint="eastAsia" w:hAnsi="仿宋_GB2312" w:cs="仿宋_GB2312"/>
          <w:sz w:val="32"/>
          <w:szCs w:val="32"/>
          <w:shd w:val="clear" w:color="auto" w:fill="auto"/>
          <w:lang w:eastAsia="zh-CN"/>
        </w:rPr>
        <w:t>党的二十大精神这条</w:t>
      </w:r>
      <w:bookmarkEnd w:id="1"/>
      <w:r>
        <w:rPr>
          <w:rFonts w:hint="eastAsia" w:ascii="仿宋_GB2312" w:hAnsi="仿宋_GB2312" w:eastAsia="仿宋_GB2312" w:cs="仿宋_GB2312"/>
          <w:sz w:val="32"/>
          <w:szCs w:val="32"/>
          <w:shd w:val="clear" w:color="auto" w:fill="auto"/>
        </w:rPr>
        <w:t>主线，将</w:t>
      </w:r>
      <w:r>
        <w:rPr>
          <w:rFonts w:hint="eastAsia" w:ascii="仿宋_GB2312" w:hAnsi="仿宋_GB2312" w:eastAsia="仿宋_GB2312" w:cs="仿宋_GB2312"/>
          <w:sz w:val="32"/>
          <w:szCs w:val="32"/>
          <w:shd w:val="clear" w:color="auto" w:fill="auto"/>
          <w:lang w:val="en-US" w:eastAsia="zh-CN"/>
        </w:rPr>
        <w:t>税收</w:t>
      </w:r>
      <w:r>
        <w:rPr>
          <w:rFonts w:hint="eastAsia" w:ascii="仿宋_GB2312" w:hAnsi="仿宋_GB2312" w:eastAsia="仿宋_GB2312" w:cs="仿宋_GB2312"/>
          <w:sz w:val="32"/>
          <w:szCs w:val="32"/>
          <w:shd w:val="clear" w:color="auto" w:fill="auto"/>
        </w:rPr>
        <w:t>工作全面纳入法治轨道，</w:t>
      </w:r>
      <w:r>
        <w:rPr>
          <w:rFonts w:hint="eastAsia" w:ascii="仿宋_GB2312" w:hAnsi="仿宋_GB2312" w:eastAsia="仿宋_GB2312" w:cs="仿宋_GB2312"/>
          <w:sz w:val="32"/>
          <w:szCs w:val="32"/>
          <w:shd w:val="clear" w:color="auto" w:fill="auto"/>
          <w:lang w:eastAsia="zh-CN"/>
        </w:rPr>
        <w:t>现将</w:t>
      </w:r>
      <w:r>
        <w:rPr>
          <w:rFonts w:hint="eastAsia" w:ascii="仿宋_GB2312" w:hAnsi="仿宋_GB2312" w:eastAsia="仿宋_GB2312" w:cs="仿宋_GB2312"/>
          <w:sz w:val="32"/>
          <w:szCs w:val="32"/>
          <w:shd w:val="clear" w:color="auto" w:fill="auto"/>
          <w:lang w:val="en-US" w:eastAsia="zh-CN"/>
        </w:rPr>
        <w:t>法治政府建设工作简要报告如下：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一、学习习近平总书记关于税收工作重要论述和自治区党委十届三次全会精神情况</w:t>
      </w:r>
    </w:p>
    <w:p>
      <w:pPr>
        <w:pStyle w:val="10"/>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今年以来，我们始终坚持以习近平法治思想为指导，把理论武装作为凝心聚魂、干事创业、汇聚磅礴力量的重大任务来抓，自治区党委十届三次全会召开后，按照塔城地区税务局党委和乌苏市委的总体部署要求，我们立即召开党委会议传达学习全会精神，并就学习宣传贯彻全会精神进行</w:t>
      </w:r>
      <w:r>
        <w:rPr>
          <w:rFonts w:hint="eastAsia" w:ascii="方正仿宋" w:eastAsia="方正仿宋"/>
          <w:sz w:val="32"/>
          <w:szCs w:val="32"/>
          <w:shd w:val="clear" w:color="auto" w:fill="auto"/>
        </w:rPr>
        <mc:AlternateContent>
          <mc:Choice Requires="wps">
            <w:drawing>
              <wp:anchor distT="0" distB="0" distL="114300" distR="114300" simplePos="0" relativeHeight="251661312" behindDoc="0" locked="1" layoutInCell="1" allowOverlap="1">
                <wp:simplePos x="0" y="0"/>
                <wp:positionH relativeFrom="page">
                  <wp:posOffset>801370</wp:posOffset>
                </wp:positionH>
                <wp:positionV relativeFrom="page">
                  <wp:posOffset>9461500</wp:posOffset>
                </wp:positionV>
                <wp:extent cx="6120130" cy="0"/>
                <wp:effectExtent l="0" t="28575" r="13970" b="28575"/>
                <wp:wrapNone/>
                <wp:docPr id="6" name="直接连接符 6"/>
                <wp:cNvGraphicFramePr/>
                <a:graphic xmlns:a="http://schemas.openxmlformats.org/drawingml/2006/main">
                  <a:graphicData uri="http://schemas.microsoft.com/office/word/2010/wordprocessingShape">
                    <wps:wsp>
                      <wps:cNvCnPr/>
                      <wps:spPr>
                        <a:xfrm>
                          <a:off x="801370" y="9427210"/>
                          <a:ext cx="612013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3.1pt;margin-top:745pt;height:0pt;width:481.9pt;mso-position-horizontal-relative:page;mso-position-vertical-relative:page;z-index:251661312;mso-width-relative:page;mso-height-relative:page;" filled="f" stroked="t" coordsize="21600,21600" o:gfxdata="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MmXdQAAAAOAQAADwAAAAAAAAABACAAAAAi&#10;AAAAZHJzL2Rvd25yZXYueG1sUEsBAhQAFAAAAAgAh07iQAcNFGAOAgAABAQAAA4AAAAAAAAAAQAg&#10;AAAAIwEAAGRycy9lMm9Eb2MueG1sUEsFBgAAAAAGAAYAWQEAAKMFAAAAAA==&#10;">
                <v:fill on="f" focussize="0,0"/>
                <v:stroke weight="4.5pt" color="#FF0000" linestyle="thinThick" joinstyle="round"/>
                <v:imagedata o:title=""/>
                <o:lock v:ext="edit" aspectratio="f"/>
                <w10:anchorlock/>
              </v:line>
            </w:pict>
          </mc:Fallback>
        </mc:AlternateContent>
      </w:r>
      <w:r>
        <w:rPr>
          <w:rFonts w:hint="eastAsia" w:ascii="仿宋_GB2312" w:hAnsi="仿宋_GB2312" w:eastAsia="仿宋_GB2312" w:cs="仿宋_GB2312"/>
          <w:color w:val="auto"/>
          <w:sz w:val="32"/>
          <w:szCs w:val="32"/>
          <w:shd w:val="clear" w:color="auto" w:fill="auto"/>
          <w:lang w:val="en-US" w:eastAsia="zh-CN"/>
        </w:rPr>
        <w:t>了安排部署。</w:t>
      </w:r>
      <w:r>
        <w:rPr>
          <w:rFonts w:hint="eastAsia" w:ascii="仿宋_GB2312" w:hAnsi="仿宋_GB2312" w:eastAsia="仿宋_GB2312" w:cs="仿宋_GB2312"/>
          <w:b/>
          <w:bCs/>
          <w:color w:val="auto"/>
          <w:sz w:val="32"/>
          <w:szCs w:val="32"/>
          <w:shd w:val="clear" w:color="auto" w:fill="auto"/>
          <w:lang w:val="en-US" w:eastAsia="zh-CN"/>
        </w:rPr>
        <w:t>一是提高站位抓学习。</w:t>
      </w:r>
      <w:r>
        <w:rPr>
          <w:rFonts w:hint="eastAsia" w:ascii="仿宋_GB2312" w:hAnsi="仿宋_GB2312" w:eastAsia="仿宋_GB2312" w:cs="仿宋_GB2312"/>
          <w:color w:val="auto"/>
          <w:sz w:val="32"/>
          <w:szCs w:val="32"/>
          <w:shd w:val="clear" w:color="auto" w:fill="auto"/>
          <w:lang w:val="en-US" w:eastAsia="zh-CN"/>
        </w:rPr>
        <w:t>坚持把学习宣传贯彻自治区党委十届三次全会精神与党的十九届六中全会精神、全国两会精神和《习近平总书记关于税收工作的重要论述》、全国全区以及塔城地区税务工作会议精神、全面从严治党会议精神有机结合起来，作为当前和今后一个时期的重要政治任务，纳入党委</w:t>
      </w:r>
      <w:bookmarkStart w:id="2" w:name="hmcheck_b8cf8f4123084e259dc9e442548af51c"/>
      <w:r>
        <w:rPr>
          <w:rFonts w:hint="eastAsia" w:ascii="仿宋_GB2312" w:hAnsi="仿宋_GB2312" w:eastAsia="仿宋_GB2312" w:cs="仿宋_GB2312"/>
          <w:color w:val="auto"/>
          <w:sz w:val="32"/>
          <w:szCs w:val="32"/>
          <w:shd w:val="clear" w:color="auto" w:fill="auto"/>
          <w:lang w:val="en-US" w:eastAsia="zh-CN"/>
        </w:rPr>
        <w:t>理论学习中心组</w:t>
      </w:r>
      <w:bookmarkEnd w:id="2"/>
      <w:r>
        <w:rPr>
          <w:rFonts w:hint="eastAsia" w:ascii="仿宋_GB2312" w:hAnsi="仿宋_GB2312" w:eastAsia="仿宋_GB2312" w:cs="仿宋_GB2312"/>
          <w:color w:val="auto"/>
          <w:sz w:val="32"/>
          <w:szCs w:val="32"/>
          <w:shd w:val="clear" w:color="auto" w:fill="auto"/>
          <w:lang w:val="en-US" w:eastAsia="zh-CN"/>
        </w:rPr>
        <w:t>、党课教育、干部教育、青年干部学习的重要内容，在深学细悟、精研细读中切实把我局党委、基层党组织、广大党员干部的思想和行动统一到习近平法治思想上来，统一到全会精神上来，确保乌苏市税收工作沿着正确的方向前进。</w:t>
      </w:r>
      <w:r>
        <w:rPr>
          <w:rFonts w:hint="eastAsia" w:ascii="仿宋_GB2312" w:hAnsi="仿宋_GB2312" w:eastAsia="仿宋_GB2312" w:cs="仿宋_GB2312"/>
          <w:b/>
          <w:bCs/>
          <w:color w:val="auto"/>
          <w:sz w:val="32"/>
          <w:szCs w:val="32"/>
          <w:shd w:val="clear" w:color="auto" w:fill="auto"/>
          <w:lang w:val="en-US" w:eastAsia="zh-CN"/>
        </w:rPr>
        <w:t>二是结合实际理思路。</w:t>
      </w:r>
      <w:r>
        <w:rPr>
          <w:rFonts w:hint="eastAsia" w:ascii="仿宋_GB2312" w:hAnsi="仿宋_GB2312" w:eastAsia="仿宋_GB2312" w:cs="仿宋_GB2312"/>
          <w:color w:val="auto"/>
          <w:sz w:val="32"/>
          <w:szCs w:val="32"/>
          <w:shd w:val="clear" w:color="auto" w:fill="auto"/>
          <w:lang w:val="en-US" w:eastAsia="zh-CN"/>
        </w:rPr>
        <w:t>采取党委组学、中心组（扩大）研讨、班子成员领学、党课解读等办法，把全会部署的</w:t>
      </w:r>
      <w:r>
        <w:rPr>
          <w:rFonts w:hint="default" w:ascii="Times New Roman" w:hAnsi="Times New Roman" w:eastAsia="仿宋_GB2312" w:cs="Times New Roman"/>
          <w:color w:val="auto"/>
          <w:sz w:val="32"/>
          <w:szCs w:val="32"/>
          <w:shd w:val="clear" w:color="auto" w:fill="auto"/>
          <w:lang w:val="en-US" w:eastAsia="zh-CN"/>
        </w:rPr>
        <w:t>13</w:t>
      </w:r>
      <w:r>
        <w:rPr>
          <w:rFonts w:hint="eastAsia" w:ascii="仿宋_GB2312" w:hAnsi="仿宋_GB2312" w:eastAsia="仿宋_GB2312" w:cs="仿宋_GB2312"/>
          <w:color w:val="auto"/>
          <w:sz w:val="32"/>
          <w:szCs w:val="32"/>
          <w:shd w:val="clear" w:color="auto" w:fill="auto"/>
          <w:lang w:val="en-US" w:eastAsia="zh-CN"/>
        </w:rPr>
        <w:t>个方面的重点工作与税收工作实际结合起来，盘点梳理今年以来各项工作，进一步理清工作思路，明确工作方向，特别是对全会提出的着力推动口岸经济带建设，推动实现口岸就地生产加工出口，加快塔城重点开发开放试验区建设，推动“通道经济”向“产业经济”“口岸经济”转变的部署要求，从税收视野、政策效应等方面进行了深入细致的思考和研究，并向</w:t>
      </w:r>
      <w:bookmarkStart w:id="3" w:name="hmcheck_40478a9569034a52b2e4e4cb053e7e41"/>
      <w:r>
        <w:rPr>
          <w:rFonts w:hint="eastAsia" w:ascii="仿宋_GB2312" w:hAnsi="仿宋_GB2312" w:eastAsia="仿宋_GB2312" w:cs="仿宋_GB2312"/>
          <w:color w:val="auto"/>
          <w:sz w:val="32"/>
          <w:szCs w:val="32"/>
          <w:shd w:val="clear" w:color="auto" w:fill="auto"/>
          <w:lang w:val="en-US" w:eastAsia="zh-CN"/>
        </w:rPr>
        <w:t>市委、市政府</w:t>
      </w:r>
      <w:bookmarkEnd w:id="3"/>
      <w:r>
        <w:rPr>
          <w:rFonts w:hint="eastAsia" w:ascii="仿宋_GB2312" w:hAnsi="仿宋_GB2312" w:eastAsia="仿宋_GB2312" w:cs="仿宋_GB2312"/>
          <w:color w:val="auto"/>
          <w:sz w:val="32"/>
          <w:szCs w:val="32"/>
          <w:shd w:val="clear" w:color="auto" w:fill="auto"/>
          <w:lang w:val="en-US" w:eastAsia="zh-CN"/>
        </w:rPr>
        <w:t>主要领导进行了专题汇报。</w:t>
      </w:r>
      <w:r>
        <w:rPr>
          <w:rFonts w:hint="eastAsia" w:ascii="仿宋_GB2312" w:hAnsi="仿宋_GB2312" w:eastAsia="仿宋_GB2312" w:cs="仿宋_GB2312"/>
          <w:b/>
          <w:bCs/>
          <w:color w:val="auto"/>
          <w:sz w:val="32"/>
          <w:szCs w:val="32"/>
          <w:shd w:val="clear" w:color="auto" w:fill="auto"/>
          <w:lang w:val="en-US" w:eastAsia="zh-CN"/>
        </w:rPr>
        <w:t>三是埋头苦干抓落实。</w:t>
      </w:r>
      <w:r>
        <w:rPr>
          <w:rFonts w:hint="eastAsia" w:ascii="仿宋_GB2312" w:hAnsi="仿宋_GB2312" w:eastAsia="仿宋_GB2312" w:cs="仿宋_GB2312"/>
          <w:color w:val="auto"/>
          <w:sz w:val="32"/>
          <w:szCs w:val="32"/>
          <w:shd w:val="clear" w:color="auto" w:fill="auto"/>
          <w:lang w:val="en-US" w:eastAsia="zh-CN"/>
        </w:rPr>
        <w:t>坚持把习近平法治思想、经济思想、《习近平关于税收工作的重要论述》和全会精神贯穿于税收工作全过程，着力培育办事依法、遇事找法、解决问题用法、化解矛盾靠法的法治环境，在税收征管改革、减税降费和维护社会稳定等重大任务中自觉运用法治思维和法治方式防范风险、处理问题、化解矛盾、落实政策，推动乌苏税务在法治轨道上高质量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二、各项重点工作开展情况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仿宋_GB2312" w:hAnsi="仿宋_GB2312" w:eastAsia="仿宋_GB2312" w:cs="仿宋_GB2312"/>
          <w:kern w:val="2"/>
          <w:sz w:val="32"/>
          <w:szCs w:val="32"/>
          <w:shd w:val="clear" w:color="auto" w:fill="auto"/>
          <w:lang w:val="en-US" w:eastAsia="zh-CN" w:bidi="ar-SA"/>
        </w:rPr>
        <w:t>围绕法治政府建设要求，</w:t>
      </w:r>
      <w:r>
        <w:rPr>
          <w:rFonts w:hint="eastAsia" w:ascii="仿宋_GB2312" w:hAnsi="仿宋_GB2312" w:eastAsia="仿宋_GB2312" w:cs="仿宋_GB2312"/>
          <w:b/>
          <w:bCs/>
          <w:kern w:val="2"/>
          <w:sz w:val="32"/>
          <w:szCs w:val="32"/>
          <w:shd w:val="clear" w:color="auto" w:fill="auto"/>
          <w:lang w:val="en-US" w:eastAsia="zh-CN" w:bidi="ar-SA"/>
        </w:rPr>
        <w:t>一是</w:t>
      </w:r>
      <w:r>
        <w:rPr>
          <w:rFonts w:hint="eastAsia" w:ascii="仿宋_GB2312" w:hAnsi="仿宋_GB2312" w:eastAsia="仿宋_GB2312" w:cs="仿宋_GB2312"/>
          <w:kern w:val="2"/>
          <w:sz w:val="32"/>
          <w:szCs w:val="32"/>
          <w:shd w:val="clear" w:color="auto" w:fill="auto"/>
          <w:lang w:val="en-US" w:eastAsia="zh-CN" w:bidi="ar-SA"/>
        </w:rPr>
        <w:t>做好贯彻落实税务行政处罚“首违不罚”事项清单，定期开展自查，坚决不能出现擅自扩大或者缩小享受范围的情况。</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kern w:val="2"/>
          <w:sz w:val="32"/>
          <w:szCs w:val="32"/>
          <w:shd w:val="clear" w:color="auto" w:fill="auto"/>
          <w:lang w:val="en-US" w:eastAsia="zh-CN" w:bidi="ar-SA"/>
        </w:rPr>
        <w:t>跟进约谈室的建设，加大约谈室的利用率，督促风险股和税源部门在执法过程中或者在约谈时能够规范使用约谈室并启用执法记录仪，规范执法过程。</w:t>
      </w:r>
      <w:r>
        <w:rPr>
          <w:rFonts w:hint="eastAsia" w:ascii="仿宋_GB2312" w:hAnsi="仿宋_GB2312" w:eastAsia="仿宋_GB2312" w:cs="仿宋_GB2312"/>
          <w:b/>
          <w:bCs/>
          <w:kern w:val="2"/>
          <w:sz w:val="32"/>
          <w:szCs w:val="32"/>
          <w:shd w:val="clear" w:color="auto" w:fill="auto"/>
          <w:lang w:val="en-US" w:eastAsia="zh-CN" w:bidi="ar-SA"/>
        </w:rPr>
        <w:t>三是</w:t>
      </w:r>
      <w:r>
        <w:rPr>
          <w:rFonts w:hint="eastAsia" w:ascii="仿宋_GB2312" w:hAnsi="仿宋_GB2312" w:eastAsia="仿宋_GB2312" w:cs="仿宋_GB2312"/>
          <w:kern w:val="2"/>
          <w:sz w:val="32"/>
          <w:szCs w:val="32"/>
          <w:shd w:val="clear" w:color="auto" w:fill="auto"/>
          <w:lang w:val="en-US" w:eastAsia="zh-CN" w:bidi="ar-SA"/>
        </w:rPr>
        <w:t>加大税收执法检查力度。加强执法工作和执法质量的督导，常态化开展执法工作自查，认真组织核查违纪违法举报线索。进一步加强税收法治队伍建设，增强执法人员力量，采取集中培训、以案代训、跟班学习等方式，提升执法人员业务能力。严格按照《行政处罚裁量基准》对违法单位实施行政处罚。</w:t>
      </w:r>
      <w:r>
        <w:rPr>
          <w:rFonts w:hint="eastAsia" w:ascii="仿宋_GB2312" w:hAnsi="仿宋_GB2312" w:eastAsia="仿宋_GB2312" w:cs="仿宋_GB2312"/>
          <w:b/>
          <w:bCs/>
          <w:kern w:val="2"/>
          <w:sz w:val="32"/>
          <w:szCs w:val="32"/>
          <w:shd w:val="clear" w:color="auto" w:fill="auto"/>
          <w:lang w:val="en-US" w:eastAsia="zh-CN" w:bidi="ar-SA"/>
        </w:rPr>
        <w:t>四是</w:t>
      </w:r>
      <w:r>
        <w:rPr>
          <w:rFonts w:hint="eastAsia" w:ascii="仿宋_GB2312" w:hAnsi="仿宋_GB2312" w:eastAsia="仿宋_GB2312" w:cs="仿宋_GB2312"/>
          <w:kern w:val="2"/>
          <w:sz w:val="32"/>
          <w:szCs w:val="32"/>
          <w:shd w:val="clear" w:color="auto" w:fill="auto"/>
          <w:lang w:val="en-US" w:eastAsia="zh-CN" w:bidi="ar-SA"/>
        </w:rPr>
        <w:t>在税务处罚过程中，严格依法依规做到细致严谨，对外出具的文书做到规范，养成良好的工作习惯，减少粗放式执法。</w:t>
      </w:r>
      <w:r>
        <w:rPr>
          <w:rFonts w:hint="eastAsia" w:ascii="仿宋_GB2312" w:hAnsi="仿宋_GB2312" w:eastAsia="仿宋_GB2312" w:cs="仿宋_GB2312"/>
          <w:b/>
          <w:bCs/>
          <w:kern w:val="2"/>
          <w:sz w:val="32"/>
          <w:szCs w:val="32"/>
          <w:shd w:val="clear" w:color="auto" w:fill="auto"/>
          <w:lang w:val="en-US" w:eastAsia="zh-CN" w:bidi="ar-SA"/>
        </w:rPr>
        <w:t>五是</w:t>
      </w:r>
      <w:r>
        <w:rPr>
          <w:rFonts w:hint="eastAsia" w:ascii="仿宋_GB2312" w:hAnsi="仿宋_GB2312" w:eastAsia="仿宋_GB2312" w:cs="仿宋_GB2312"/>
          <w:kern w:val="2"/>
          <w:sz w:val="32"/>
          <w:szCs w:val="32"/>
          <w:shd w:val="clear" w:color="auto" w:fill="auto"/>
          <w:lang w:val="en-US" w:eastAsia="zh-CN" w:bidi="ar-SA"/>
        </w:rPr>
        <w:t>在执法公示平台上尤其是定期定额数据和最高开票限额行政许可，业务发生较为频繁，及时提醒各部门审核，及时审核，避免逾期。</w:t>
      </w:r>
      <w:r>
        <w:rPr>
          <w:rFonts w:hint="eastAsia" w:ascii="仿宋_GB2312" w:hAnsi="仿宋_GB2312" w:eastAsia="仿宋_GB2312" w:cs="仿宋_GB2312"/>
          <w:b/>
          <w:bCs/>
          <w:kern w:val="2"/>
          <w:sz w:val="32"/>
          <w:szCs w:val="32"/>
          <w:shd w:val="clear" w:color="auto" w:fill="auto"/>
          <w:lang w:val="zh-CN" w:eastAsia="zh-CN" w:bidi="ar-SA"/>
        </w:rPr>
        <w:t>六是</w:t>
      </w:r>
      <w:r>
        <w:rPr>
          <w:rFonts w:hint="eastAsia" w:ascii="仿宋_GB2312" w:hAnsi="仿宋_GB2312" w:eastAsia="仿宋_GB2312" w:cs="仿宋_GB2312"/>
          <w:kern w:val="2"/>
          <w:sz w:val="32"/>
          <w:szCs w:val="32"/>
          <w:shd w:val="clear" w:color="auto" w:fill="auto"/>
          <w:lang w:val="zh-CN" w:eastAsia="zh-CN" w:bidi="ar-SA"/>
        </w:rPr>
        <w:t>贯彻落实全面依法行政</w:t>
      </w:r>
      <w:r>
        <w:rPr>
          <w:rFonts w:hint="default" w:ascii="仿宋_GB2312" w:hAnsi="仿宋_GB2312" w:eastAsia="仿宋_GB2312" w:cs="仿宋_GB2312"/>
          <w:kern w:val="2"/>
          <w:sz w:val="32"/>
          <w:szCs w:val="32"/>
          <w:shd w:val="clear" w:color="auto" w:fill="auto"/>
          <w:lang w:val="zh-CN" w:eastAsia="zh-CN" w:bidi="ar-SA"/>
        </w:rPr>
        <w:t>“</w:t>
      </w:r>
      <w:r>
        <w:rPr>
          <w:rFonts w:hint="eastAsia" w:ascii="仿宋_GB2312" w:hAnsi="仿宋_GB2312" w:eastAsia="仿宋_GB2312" w:cs="仿宋_GB2312"/>
          <w:kern w:val="2"/>
          <w:sz w:val="32"/>
          <w:szCs w:val="32"/>
          <w:shd w:val="clear" w:color="auto" w:fill="auto"/>
          <w:lang w:val="zh-CN" w:eastAsia="zh-CN" w:bidi="ar-SA"/>
        </w:rPr>
        <w:t>三项制度</w:t>
      </w:r>
      <w:r>
        <w:rPr>
          <w:rFonts w:hint="default" w:ascii="仿宋_GB2312" w:hAnsi="仿宋_GB2312" w:eastAsia="仿宋_GB2312" w:cs="仿宋_GB2312"/>
          <w:kern w:val="2"/>
          <w:sz w:val="32"/>
          <w:szCs w:val="32"/>
          <w:shd w:val="clear" w:color="auto" w:fill="auto"/>
          <w:lang w:val="zh-CN" w:eastAsia="zh-CN" w:bidi="ar-SA"/>
        </w:rPr>
        <w:t>”</w:t>
      </w:r>
      <w:r>
        <w:rPr>
          <w:rFonts w:hint="eastAsia" w:ascii="仿宋_GB2312" w:hAnsi="仿宋_GB2312" w:eastAsia="仿宋_GB2312" w:cs="仿宋_GB2312"/>
          <w:kern w:val="2"/>
          <w:sz w:val="32"/>
          <w:szCs w:val="32"/>
          <w:shd w:val="clear" w:color="auto" w:fill="auto"/>
          <w:lang w:val="zh-CN" w:eastAsia="zh-CN" w:bidi="ar-SA"/>
        </w:rPr>
        <w:t>规定，规范税务干部执法行为，开展相关培训</w:t>
      </w:r>
      <w:r>
        <w:rPr>
          <w:rFonts w:hint="default" w:ascii="Times New Roman" w:hAnsi="Times New Roman" w:eastAsia="仿宋_GB2312" w:cs="Times New Roman"/>
          <w:kern w:val="2"/>
          <w:sz w:val="32"/>
          <w:szCs w:val="32"/>
          <w:shd w:val="clear" w:color="auto" w:fill="auto"/>
          <w:lang w:val="zh-CN" w:eastAsia="zh-CN" w:bidi="ar-SA"/>
        </w:rPr>
        <w:t>3</w:t>
      </w:r>
      <w:r>
        <w:rPr>
          <w:rFonts w:hint="eastAsia" w:ascii="仿宋_GB2312" w:hAnsi="仿宋_GB2312" w:eastAsia="仿宋_GB2312" w:cs="仿宋_GB2312"/>
          <w:kern w:val="2"/>
          <w:sz w:val="32"/>
          <w:szCs w:val="32"/>
          <w:shd w:val="clear" w:color="auto" w:fill="auto"/>
          <w:lang w:val="zh-CN" w:eastAsia="zh-CN" w:bidi="ar-SA"/>
        </w:rPr>
        <w:t>次，对</w:t>
      </w:r>
      <w:r>
        <w:rPr>
          <w:rFonts w:hint="default" w:ascii="仿宋_GB2312" w:hAnsi="仿宋_GB2312" w:eastAsia="仿宋_GB2312" w:cs="仿宋_GB2312"/>
          <w:kern w:val="2"/>
          <w:sz w:val="32"/>
          <w:szCs w:val="32"/>
          <w:shd w:val="clear" w:color="auto" w:fill="auto"/>
          <w:lang w:val="zh-CN" w:eastAsia="zh-CN" w:bidi="ar-SA"/>
        </w:rPr>
        <w:t>“</w:t>
      </w:r>
      <w:r>
        <w:rPr>
          <w:rFonts w:hint="eastAsia" w:ascii="仿宋_GB2312" w:hAnsi="仿宋_GB2312" w:eastAsia="仿宋_GB2312" w:cs="仿宋_GB2312"/>
          <w:kern w:val="2"/>
          <w:sz w:val="32"/>
          <w:szCs w:val="32"/>
          <w:shd w:val="clear" w:color="auto" w:fill="auto"/>
          <w:lang w:val="zh-CN" w:eastAsia="zh-CN" w:bidi="ar-SA"/>
        </w:rPr>
        <w:t>三项制度</w:t>
      </w:r>
      <w:r>
        <w:rPr>
          <w:rFonts w:hint="default" w:ascii="仿宋_GB2312" w:hAnsi="仿宋_GB2312" w:eastAsia="仿宋_GB2312" w:cs="仿宋_GB2312"/>
          <w:kern w:val="2"/>
          <w:sz w:val="32"/>
          <w:szCs w:val="32"/>
          <w:shd w:val="clear" w:color="auto" w:fill="auto"/>
          <w:lang w:val="zh-CN" w:eastAsia="zh-CN" w:bidi="ar-SA"/>
        </w:rPr>
        <w:t>”</w:t>
      </w:r>
      <w:r>
        <w:rPr>
          <w:rFonts w:hint="eastAsia" w:ascii="仿宋_GB2312" w:hAnsi="仿宋_GB2312" w:eastAsia="仿宋_GB2312" w:cs="仿宋_GB2312"/>
          <w:kern w:val="2"/>
          <w:sz w:val="32"/>
          <w:szCs w:val="32"/>
          <w:shd w:val="clear" w:color="auto" w:fill="auto"/>
          <w:lang w:val="zh-CN" w:eastAsia="zh-CN" w:bidi="ar-SA"/>
        </w:rPr>
        <w:t>基础知识进行电话抽查</w:t>
      </w:r>
      <w:r>
        <w:rPr>
          <w:rFonts w:hint="default" w:ascii="Times New Roman" w:hAnsi="Times New Roman" w:eastAsia="仿宋_GB2312" w:cs="Times New Roman"/>
          <w:kern w:val="2"/>
          <w:sz w:val="32"/>
          <w:szCs w:val="32"/>
          <w:shd w:val="clear" w:color="auto" w:fill="auto"/>
          <w:lang w:val="zh-CN" w:eastAsia="zh-CN" w:bidi="ar-SA"/>
        </w:rPr>
        <w:t>12</w:t>
      </w:r>
      <w:r>
        <w:rPr>
          <w:rFonts w:hint="eastAsia" w:ascii="仿宋_GB2312" w:hAnsi="仿宋_GB2312" w:eastAsia="仿宋_GB2312" w:cs="仿宋_GB2312"/>
          <w:kern w:val="2"/>
          <w:sz w:val="32"/>
          <w:szCs w:val="32"/>
          <w:shd w:val="clear" w:color="auto" w:fill="auto"/>
          <w:lang w:val="zh-CN" w:eastAsia="zh-CN" w:bidi="ar-SA"/>
        </w:rPr>
        <w:t>余次，覆盖面从股长到一般干部，及时提出存在的不足。执法公示平台发布事项</w:t>
      </w:r>
      <w:r>
        <w:rPr>
          <w:rFonts w:hint="default" w:ascii="Times New Roman" w:hAnsi="Times New Roman" w:eastAsia="仿宋_GB2312" w:cs="Times New Roman"/>
          <w:kern w:val="2"/>
          <w:sz w:val="32"/>
          <w:szCs w:val="32"/>
          <w:shd w:val="clear" w:color="auto" w:fill="auto"/>
          <w:lang w:val="zh-CN" w:eastAsia="zh-CN" w:bidi="ar-SA"/>
        </w:rPr>
        <w:t>14409</w:t>
      </w:r>
      <w:r>
        <w:rPr>
          <w:rFonts w:hint="eastAsia" w:ascii="仿宋_GB2312" w:hAnsi="仿宋_GB2312" w:eastAsia="仿宋_GB2312" w:cs="仿宋_GB2312"/>
          <w:kern w:val="2"/>
          <w:sz w:val="32"/>
          <w:szCs w:val="32"/>
          <w:shd w:val="clear" w:color="auto" w:fill="auto"/>
          <w:lang w:val="zh-CN" w:eastAsia="zh-CN" w:bidi="ar-SA"/>
        </w:rPr>
        <w:t>条；执法存储管理平台审批上传音视频</w:t>
      </w:r>
      <w:r>
        <w:rPr>
          <w:rFonts w:hint="default" w:ascii="Times New Roman" w:hAnsi="Times New Roman" w:eastAsia="仿宋_GB2312" w:cs="Times New Roman"/>
          <w:kern w:val="2"/>
          <w:sz w:val="32"/>
          <w:szCs w:val="32"/>
          <w:shd w:val="clear" w:color="auto" w:fill="auto"/>
          <w:lang w:val="zh-CN" w:eastAsia="zh-CN" w:bidi="ar-SA"/>
        </w:rPr>
        <w:t>17</w:t>
      </w:r>
      <w:r>
        <w:rPr>
          <w:rFonts w:hint="eastAsia" w:ascii="仿宋_GB2312" w:hAnsi="仿宋_GB2312" w:eastAsia="仿宋_GB2312" w:cs="仿宋_GB2312"/>
          <w:kern w:val="2"/>
          <w:sz w:val="32"/>
          <w:szCs w:val="32"/>
          <w:shd w:val="clear" w:color="auto" w:fill="auto"/>
          <w:lang w:val="zh-CN" w:eastAsia="zh-CN" w:bidi="ar-SA"/>
        </w:rPr>
        <w:t>条。</w:t>
      </w:r>
      <w:r>
        <w:rPr>
          <w:rFonts w:hint="eastAsia" w:ascii="仿宋_GB2312" w:hAnsi="仿宋_GB2312" w:eastAsia="仿宋_GB2312" w:cs="仿宋_GB2312"/>
          <w:b/>
          <w:bCs/>
          <w:kern w:val="2"/>
          <w:sz w:val="32"/>
          <w:szCs w:val="32"/>
          <w:shd w:val="clear" w:color="auto" w:fill="auto"/>
          <w:lang w:val="en-US" w:eastAsia="zh-CN" w:bidi="ar-SA"/>
        </w:rPr>
        <w:t>七是</w:t>
      </w:r>
      <w:r>
        <w:rPr>
          <w:rFonts w:hint="eastAsia" w:ascii="仿宋_GB2312" w:hAnsi="仿宋_GB2312" w:eastAsia="仿宋_GB2312" w:cs="仿宋_GB2312"/>
          <w:kern w:val="2"/>
          <w:sz w:val="32"/>
          <w:szCs w:val="32"/>
          <w:shd w:val="clear" w:color="auto" w:fill="auto"/>
          <w:lang w:val="en-US" w:eastAsia="zh-CN" w:bidi="ar-SA"/>
        </w:rPr>
        <w:t>设立涉税争议调解中心，打造</w:t>
      </w:r>
      <w:r>
        <w:rPr>
          <w:rFonts w:hint="default" w:ascii="Times New Roman" w:hAnsi="Times New Roman" w:eastAsia="仿宋_GB2312" w:cs="Times New Roman"/>
          <w:kern w:val="2"/>
          <w:sz w:val="32"/>
          <w:szCs w:val="32"/>
          <w:shd w:val="clear" w:color="auto" w:fill="auto"/>
          <w:lang w:val="en-US" w:eastAsia="zh-CN" w:bidi="ar-SA"/>
        </w:rPr>
        <w:t>1</w:t>
      </w:r>
      <w:r>
        <w:rPr>
          <w:rFonts w:hint="eastAsia" w:ascii="仿宋_GB2312" w:hAnsi="仿宋_GB2312" w:eastAsia="仿宋_GB2312" w:cs="仿宋_GB2312"/>
          <w:kern w:val="2"/>
          <w:sz w:val="32"/>
          <w:szCs w:val="32"/>
          <w:shd w:val="clear" w:color="auto" w:fill="auto"/>
          <w:lang w:val="en-US" w:eastAsia="zh-CN" w:bidi="ar-SA"/>
        </w:rPr>
        <w:t>+</w:t>
      </w:r>
      <w:r>
        <w:rPr>
          <w:rFonts w:hint="default" w:ascii="Times New Roman" w:hAnsi="Times New Roman" w:eastAsia="仿宋_GB2312" w:cs="Times New Roman"/>
          <w:kern w:val="2"/>
          <w:sz w:val="32"/>
          <w:szCs w:val="32"/>
          <w:shd w:val="clear" w:color="auto" w:fill="auto"/>
          <w:lang w:val="en-US" w:eastAsia="zh-CN" w:bidi="ar-SA"/>
        </w:rPr>
        <w:t>3</w:t>
      </w:r>
      <w:r>
        <w:rPr>
          <w:rFonts w:hint="eastAsia" w:ascii="仿宋_GB2312" w:hAnsi="仿宋_GB2312" w:eastAsia="仿宋_GB2312" w:cs="仿宋_GB2312"/>
          <w:kern w:val="2"/>
          <w:sz w:val="32"/>
          <w:szCs w:val="32"/>
          <w:shd w:val="clear" w:color="auto" w:fill="auto"/>
          <w:lang w:val="en-US" w:eastAsia="zh-CN" w:bidi="ar-SA"/>
        </w:rPr>
        <w:t>+N模式和指尖化纠纷模式，以及新时代枫桥模式税务机关，让有争议的纳税人消除芥蒂，指导纳税人及时办理涉税业务，让广大纳税人有更多的获得感和幸福感。</w:t>
      </w:r>
      <w:r>
        <w:rPr>
          <w:rFonts w:hint="eastAsia" w:ascii="仿宋_GB2312" w:hAnsi="仿宋_GB2312" w:eastAsia="仿宋_GB2312" w:cs="仿宋_GB2312"/>
          <w:b/>
          <w:bCs/>
          <w:kern w:val="2"/>
          <w:sz w:val="32"/>
          <w:szCs w:val="32"/>
          <w:shd w:val="clear" w:color="auto" w:fill="auto"/>
          <w:lang w:val="en-US" w:eastAsia="zh-CN" w:bidi="ar-SA"/>
        </w:rPr>
        <w:t>八是</w:t>
      </w:r>
      <w:r>
        <w:rPr>
          <w:rFonts w:hint="eastAsia" w:ascii="仿宋_GB2312" w:hAnsi="仿宋_GB2312" w:eastAsia="仿宋_GB2312" w:cs="仿宋_GB2312"/>
          <w:kern w:val="2"/>
          <w:sz w:val="32"/>
          <w:szCs w:val="32"/>
          <w:shd w:val="clear" w:color="auto" w:fill="auto"/>
          <w:lang w:val="en-US" w:eastAsia="zh-CN" w:bidi="ar-SA"/>
        </w:rPr>
        <w:t>日常督察和专项督察相结合，把好内部督察关，及时整改并举一反三避免重复犯错。针对留抵退税，个人所得税综合所得汇算清缴，现金税费征缴贪污截留风险防控长效机制工作开展情况进行督察，及时进行工作上的沟通，做到指导监督并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三、存在问题和今后努力方向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zh-CN" w:eastAsia="zh-CN"/>
        </w:rPr>
      </w:pPr>
      <w:r>
        <w:rPr>
          <w:rFonts w:hint="eastAsia" w:ascii="仿宋_GB2312" w:hAnsi="仿宋_GB2312" w:eastAsia="仿宋_GB2312" w:cs="仿宋_GB2312"/>
          <w:color w:val="auto"/>
          <w:sz w:val="32"/>
          <w:szCs w:val="32"/>
          <w:shd w:val="clear" w:color="auto" w:fill="auto"/>
          <w:lang w:val="zh-CN" w:eastAsia="zh-CN"/>
        </w:rPr>
        <w:t>今年以来，虽然我们做了大量工作，但是与新形势新任务以及纳税人缴费人的需求要求仍有一定差距。</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zh-CN" w:eastAsia="zh-CN"/>
        </w:rPr>
        <w:t>一是</w:t>
      </w:r>
      <w:r>
        <w:rPr>
          <w:rFonts w:hint="eastAsia" w:ascii="楷体" w:hAnsi="楷体" w:eastAsia="楷体" w:cs="楷体"/>
          <w:color w:val="auto"/>
          <w:sz w:val="32"/>
          <w:szCs w:val="32"/>
          <w:shd w:val="clear" w:color="auto" w:fill="auto"/>
          <w:lang w:val="zh-CN" w:eastAsia="zh-CN"/>
        </w:rPr>
        <w:t>部分干部法治风险意识、忧患意识不强。</w:t>
      </w:r>
      <w:r>
        <w:rPr>
          <w:rFonts w:hint="eastAsia" w:ascii="仿宋_GB2312" w:hAnsi="仿宋_GB2312" w:eastAsia="仿宋_GB2312" w:cs="仿宋_GB2312"/>
          <w:color w:val="auto"/>
          <w:sz w:val="32"/>
          <w:szCs w:val="32"/>
          <w:shd w:val="clear" w:color="auto" w:fill="auto"/>
          <w:lang w:val="zh-CN" w:eastAsia="zh-CN"/>
        </w:rPr>
        <w:t>风险防范能力</w:t>
      </w:r>
      <w:r>
        <w:rPr>
          <w:rFonts w:hint="eastAsia" w:ascii="仿宋_GB2312" w:hAnsi="仿宋_GB2312" w:eastAsia="仿宋_GB2312" w:cs="仿宋_GB2312"/>
          <w:color w:val="auto"/>
          <w:sz w:val="32"/>
          <w:szCs w:val="32"/>
          <w:shd w:val="clear" w:color="auto" w:fill="auto"/>
          <w:lang w:val="en-US" w:eastAsia="zh-CN"/>
        </w:rPr>
        <w:t>、洞察能力、驾驭能力和遏制能力弱，需要出实招硬招加以提高。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二是</w:t>
      </w:r>
      <w:r>
        <w:rPr>
          <w:rFonts w:hint="eastAsia" w:ascii="楷体_GB2312" w:hAnsi="楷体_GB2312" w:eastAsia="楷体_GB2312" w:cs="楷体_GB2312"/>
          <w:color w:val="auto"/>
          <w:sz w:val="32"/>
          <w:szCs w:val="32"/>
          <w:shd w:val="clear" w:color="auto" w:fill="auto"/>
          <w:lang w:val="en-US" w:eastAsia="zh-CN"/>
        </w:rPr>
        <w:t>法治文化营造和典型经验推广方面的工作有待加强。</w:t>
      </w:r>
      <w:r>
        <w:rPr>
          <w:rFonts w:hint="eastAsia" w:ascii="仿宋_GB2312" w:hAnsi="仿宋_GB2312" w:eastAsia="仿宋_GB2312" w:cs="仿宋_GB2312"/>
          <w:color w:val="auto"/>
          <w:sz w:val="32"/>
          <w:szCs w:val="32"/>
          <w:shd w:val="clear" w:color="auto" w:fill="auto"/>
          <w:lang w:val="en-US" w:eastAsia="zh-CN"/>
        </w:rPr>
        <w:t>深化总结和发掘提炼还不够，还需要持续加大工作力度。法治宣传教育的形式和内容还有待不断创新等。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三是</w:t>
      </w:r>
      <w:r>
        <w:rPr>
          <w:rFonts w:hint="eastAsia" w:ascii="楷体_GB2312" w:hAnsi="楷体_GB2312" w:eastAsia="楷体_GB2312" w:cs="楷体_GB2312"/>
          <w:color w:val="auto"/>
          <w:sz w:val="32"/>
          <w:szCs w:val="32"/>
          <w:shd w:val="clear" w:color="auto" w:fill="auto"/>
          <w:lang w:val="en-US" w:eastAsia="zh-CN"/>
        </w:rPr>
        <w:t>行政执法监督的措施还不够有力。</w:t>
      </w:r>
      <w:r>
        <w:rPr>
          <w:rFonts w:hint="eastAsia" w:ascii="仿宋_GB2312" w:hAnsi="仿宋_GB2312" w:eastAsia="仿宋_GB2312" w:cs="仿宋_GB2312"/>
          <w:color w:val="auto"/>
          <w:sz w:val="32"/>
          <w:szCs w:val="32"/>
          <w:shd w:val="clear" w:color="auto" w:fill="auto"/>
          <w:lang w:val="en-US" w:eastAsia="zh-CN"/>
        </w:rPr>
        <w:t>日常执法督察工作不到位，主动发现执法风险、执法问题能力不够。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在今后的工作中，乌苏市税务局将立足实际，坚持与时俱进、开拓创新，不断推动法治建设，营造全民学法守法用法的良好法治环境。深入开展好尊法学法守法用法各项活动，努力营造浓厚税收法治建设氛围，严格适用行政处罚自由裁量权标准，开展日常执法业务培训和风险提示，不断提升行政执法人员业务素质，不断创新法治宣传教育的形式、内容和载体，努力在法治建设实践中总结、推广和深化，不断推动税收法治建设工作迈上新台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国家税务总局乌苏市税务局    </w:t>
      </w:r>
    </w:p>
    <w:p>
      <w:pPr>
        <w:keepNext w:val="0"/>
        <w:keepLines w:val="0"/>
        <w:pageBreakBefore w:val="0"/>
        <w:widowControl w:val="0"/>
        <w:kinsoku/>
        <w:wordWrap/>
        <w:overflowPunct/>
        <w:topLinePunct w:val="0"/>
        <w:autoSpaceDE/>
        <w:autoSpaceDN/>
        <w:bidi w:val="0"/>
        <w:adjustRightInd/>
        <w:snapToGrid/>
        <w:spacing w:line="560" w:lineRule="exact"/>
        <w:ind w:firstLine="5372" w:firstLineChars="1700"/>
        <w:jc w:val="both"/>
        <w:textAlignment w:val="auto"/>
        <w:rPr>
          <w:rFonts w:hint="eastAsia" w:ascii="仿宋_GB2312" w:hAnsi="仿宋_GB2312" w:eastAsia="仿宋_GB2312" w:cs="仿宋_GB2312"/>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default" w:ascii="Times New Roman" w:hAnsi="Times New Roman"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default" w:ascii="Times New Roman" w:hAnsi="Times New Roman" w:eastAsia="仿宋_GB2312" w:cs="Times New Roman"/>
          <w:color w:val="auto"/>
          <w:sz w:val="32"/>
          <w:szCs w:val="32"/>
          <w:shd w:val="clear" w:color="auto" w:fill="auto"/>
          <w:lang w:val="en-US" w:eastAsia="zh-CN"/>
        </w:rPr>
        <w:t>12</w:t>
      </w:r>
      <w:r>
        <w:rPr>
          <w:rFonts w:hint="eastAsia" w:ascii="仿宋_GB2312" w:hAnsi="仿宋_GB2312" w:eastAsia="仿宋_GB2312" w:cs="仿宋_GB2312"/>
          <w:color w:val="auto"/>
          <w:sz w:val="32"/>
          <w:szCs w:val="32"/>
          <w:shd w:val="clear" w:color="auto" w:fill="auto"/>
          <w:lang w:val="en-US" w:eastAsia="zh-CN"/>
        </w:rPr>
        <w:t xml:space="preserve">日    </w:t>
      </w:r>
      <w:r>
        <w:rPr>
          <w:rFonts w:hint="eastAsia" w:ascii="楷体_GB2312" w:hAnsi="楷体_GB2312" w:eastAsia="楷体_GB2312" w:cs="楷体_GB2312"/>
          <w:sz w:val="32"/>
          <w:szCs w:val="32"/>
          <w:shd w:val="clear" w:color="auto" w:fill="auto"/>
          <w:lang w:val="en-US" w:eastAsia="zh-CN"/>
        </w:rPr>
        <w:t xml:space="preserve"> </w:t>
      </w:r>
    </w:p>
    <w:p>
      <w:pPr>
        <w:rPr>
          <w:shd w:val="clear" w:color="auto" w:fill="auto"/>
        </w:rPr>
      </w:pPr>
    </w:p>
    <w:bookmarkEnd w:id="4"/>
    <w:sectPr>
      <w:footerReference r:id="rId5" w:type="first"/>
      <w:footerReference r:id="rId3" w:type="default"/>
      <w:footerReference r:id="rId4" w:type="even"/>
      <w:pgSz w:w="11906" w:h="16838"/>
      <w:pgMar w:top="2098" w:right="1474" w:bottom="1984" w:left="1588" w:header="851" w:footer="992" w:gutter="0"/>
      <w:pgNumType w:fmt="numberInDash"/>
      <w:cols w:space="0" w:num="1"/>
      <w:titlePg/>
      <w:rtlGutter w:val="0"/>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FangSong-Z02">
    <w:altName w:val="宋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方正仿宋">
    <w:altName w:val="仿宋"/>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HorizontalSpacing w:val="103"/>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0000000"/>
    <w:rsid w:val="0781795D"/>
    <w:rsid w:val="10E967F3"/>
    <w:rsid w:val="12C23EF3"/>
    <w:rsid w:val="167A4DB8"/>
    <w:rsid w:val="17B5561C"/>
    <w:rsid w:val="1B096622"/>
    <w:rsid w:val="21405352"/>
    <w:rsid w:val="291A76CF"/>
    <w:rsid w:val="2F8A3CE0"/>
    <w:rsid w:val="38E26BF0"/>
    <w:rsid w:val="4AFF371A"/>
    <w:rsid w:val="4D6522DF"/>
    <w:rsid w:val="5058479E"/>
    <w:rsid w:val="54F507C5"/>
    <w:rsid w:val="5687109B"/>
    <w:rsid w:val="599D462F"/>
    <w:rsid w:val="5D806253"/>
    <w:rsid w:val="641471B8"/>
    <w:rsid w:val="67272F92"/>
    <w:rsid w:val="69453B1F"/>
    <w:rsid w:val="6F0E3908"/>
    <w:rsid w:val="745979CE"/>
    <w:rsid w:val="7DB2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 w:val="30"/>
    </w:rPr>
  </w:style>
  <w:style w:type="paragraph" w:styleId="3">
    <w:name w:val="Body Text"/>
    <w:basedOn w:val="1"/>
    <w:next w:val="4"/>
    <w:qFormat/>
    <w:uiPriority w:val="0"/>
  </w:style>
  <w:style w:type="paragraph" w:styleId="4">
    <w:name w:val="footer"/>
    <w:basedOn w:val="1"/>
    <w:next w:val="2"/>
    <w:autoRedefine/>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firstLineChars="200"/>
    </w:p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0">
    <w:name w:val="Default"/>
    <w:autoRedefine/>
    <w:unhideWhenUsed/>
    <w:qFormat/>
    <w:uiPriority w:val="99"/>
    <w:pPr>
      <w:widowControl w:val="0"/>
      <w:autoSpaceDE w:val="0"/>
      <w:autoSpaceDN w:val="0"/>
      <w:adjustRightInd w:val="0"/>
    </w:pPr>
    <w:rPr>
      <w:rFonts w:hint="eastAsia" w:ascii="FZFangSong-Z02" w:hAnsi="FZFangSong-Z02" w:eastAsia="FZFangSong-Z02" w:cs="Times New Roman"/>
      <w:color w:val="000000"/>
      <w:sz w:val="24"/>
      <w:szCs w:val="22"/>
      <w:lang w:val="en-US" w:eastAsia="zh-CN" w:bidi="ar-SA"/>
    </w:rPr>
  </w:style>
  <w:style w:type="paragraph" w:customStyle="1" w:styleId="11">
    <w:name w:val="Body Text First Indent 2"/>
    <w:basedOn w:val="12"/>
    <w:autoRedefine/>
    <w:qFormat/>
    <w:uiPriority w:val="0"/>
    <w:pPr>
      <w:ind w:firstLine="420" w:firstLineChars="200"/>
    </w:pPr>
    <w:rPr>
      <w:rFonts w:ascii="仿宋_GB2312" w:eastAsia="仿宋_GB2312"/>
      <w:color w:val="000000"/>
      <w:sz w:val="32"/>
      <w:u w:val="none" w:color="000000"/>
    </w:rPr>
  </w:style>
  <w:style w:type="paragraph" w:customStyle="1" w:styleId="12">
    <w:name w:val="Body Text Indent"/>
    <w:basedOn w:val="1"/>
    <w:autoRedefine/>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喜文</cp:lastModifiedBy>
  <dcterms:modified xsi:type="dcterms:W3CDTF">2024-03-27T05:12:50Z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C4C86F918CDC440C8E4E80F8E2A46FDD_13</vt:lpwstr>
  </property>
  <property fmtid="{D5CDD505-2E9C-101B-9397-08002B2CF9AE}" pid="4" name="hmcheck_result_011fa8a519ad454faf6ca1d207d9fe44_errorword">
    <vt:lpwstr>党的二十</vt:lpwstr>
  </property>
  <property fmtid="{D5CDD505-2E9C-101B-9397-08002B2CF9AE}" pid="5" name="hmcheck_result_011fa8a519ad454faf6ca1d207d9fe44_correctwords">
    <vt:lpwstr>["党的二十大"]</vt:lpwstr>
  </property>
  <property fmtid="{D5CDD505-2E9C-101B-9397-08002B2CF9AE}" pid="6" name="hmcheck_result_011fa8a519ad454faf6ca1d207d9fe44_level">
    <vt:i4>1</vt:i4>
  </property>
  <property fmtid="{D5CDD505-2E9C-101B-9397-08002B2CF9AE}" pid="7" name="hmcheck_result_011fa8a519ad454faf6ca1d207d9fe44_type">
    <vt:i4>7</vt:i4>
  </property>
  <property fmtid="{D5CDD505-2E9C-101B-9397-08002B2CF9AE}" pid="8" name="hmcheck_result_011fa8a519ad454faf6ca1d207d9fe44_modifiedtype">
    <vt:i4>2</vt:i4>
  </property>
  <property fmtid="{D5CDD505-2E9C-101B-9397-08002B2CF9AE}" pid="9" name="hmcheck_result_9bbd889d855a4572ba43119b34adad3c_errorword">
    <vt:lpwstr>党的二十大这条</vt:lpwstr>
  </property>
  <property fmtid="{D5CDD505-2E9C-101B-9397-08002B2CF9AE}" pid="10" name="hmcheck_result_9bbd889d855a4572ba43119b34adad3c_correctwords">
    <vt:lpwstr>["党的二十大精神这条"]</vt:lpwstr>
  </property>
  <property fmtid="{D5CDD505-2E9C-101B-9397-08002B2CF9AE}" pid="11" name="hmcheck_result_9bbd889d855a4572ba43119b34adad3c_level">
    <vt:i4>1</vt:i4>
  </property>
  <property fmtid="{D5CDD505-2E9C-101B-9397-08002B2CF9AE}" pid="12" name="hmcheck_result_9bbd889d855a4572ba43119b34adad3c_type">
    <vt:i4>0</vt:i4>
  </property>
  <property fmtid="{D5CDD505-2E9C-101B-9397-08002B2CF9AE}" pid="13" name="hmcheck_result_9bbd889d855a4572ba43119b34adad3c_modifiedtype">
    <vt:i4>2</vt:i4>
  </property>
  <property fmtid="{D5CDD505-2E9C-101B-9397-08002B2CF9AE}" pid="14" name="hmcheck_result_b8cf8f4123084e259dc9e442548af51c_errorword">
    <vt:lpwstr>理论中心组</vt:lpwstr>
  </property>
  <property fmtid="{D5CDD505-2E9C-101B-9397-08002B2CF9AE}" pid="15" name="hmcheck_result_b8cf8f4123084e259dc9e442548af51c_correctwords">
    <vt:lpwstr>["理论学习中心组"]</vt:lpwstr>
  </property>
  <property fmtid="{D5CDD505-2E9C-101B-9397-08002B2CF9AE}" pid="16" name="hmcheck_result_b8cf8f4123084e259dc9e442548af51c_level">
    <vt:i4>1</vt:i4>
  </property>
  <property fmtid="{D5CDD505-2E9C-101B-9397-08002B2CF9AE}" pid="17" name="hmcheck_result_b8cf8f4123084e259dc9e442548af51c_type">
    <vt:i4>7</vt:i4>
  </property>
  <property fmtid="{D5CDD505-2E9C-101B-9397-08002B2CF9AE}" pid="18" name="hmcheck_result_b8cf8f4123084e259dc9e442548af51c_modifiedtype">
    <vt:i4>2</vt:i4>
  </property>
  <property fmtid="{D5CDD505-2E9C-101B-9397-08002B2CF9AE}" pid="19" name="hmcheck_result_40478a9569034a52b2e4e4cb053e7e41_errorword">
    <vt:lpwstr>市委、政府</vt:lpwstr>
  </property>
  <property fmtid="{D5CDD505-2E9C-101B-9397-08002B2CF9AE}" pid="20" name="hmcheck_result_40478a9569034a52b2e4e4cb053e7e41_correctwords">
    <vt:lpwstr>["市委、市政府"]</vt:lpwstr>
  </property>
  <property fmtid="{D5CDD505-2E9C-101B-9397-08002B2CF9AE}" pid="21" name="hmcheck_result_40478a9569034a52b2e4e4cb053e7e41_level">
    <vt:i4>1</vt:i4>
  </property>
  <property fmtid="{D5CDD505-2E9C-101B-9397-08002B2CF9AE}" pid="22" name="hmcheck_result_40478a9569034a52b2e4e4cb053e7e41_type">
    <vt:i4>0</vt:i4>
  </property>
  <property fmtid="{D5CDD505-2E9C-101B-9397-08002B2CF9AE}" pid="23" name="hmcheck_result_40478a9569034a52b2e4e4cb053e7e41_modifiedtype">
    <vt:i4>2</vt:i4>
  </property>
  <property fmtid="{D5CDD505-2E9C-101B-9397-08002B2CF9AE}" pid="24" name="hmcheck_markmode">
    <vt:i4>0</vt:i4>
  </property>
  <property fmtid="{D5CDD505-2E9C-101B-9397-08002B2CF9AE}" pid="25" name="hmcheck_result_011fa8a519ad454faf6ca1d207d9fe44_modifiedword">
    <vt:lpwstr>党的二十大</vt:lpwstr>
  </property>
  <property fmtid="{D5CDD505-2E9C-101B-9397-08002B2CF9AE}" pid="26" name="hmcheck_result_9bbd889d855a4572ba43119b34adad3c_modifiedword">
    <vt:lpwstr>党的二十大精神这条</vt:lpwstr>
  </property>
  <property fmtid="{D5CDD505-2E9C-101B-9397-08002B2CF9AE}" pid="27" name="hmcheck_result_b8cf8f4123084e259dc9e442548af51c_modifiedword">
    <vt:lpwstr>理论学习中心组</vt:lpwstr>
  </property>
  <property fmtid="{D5CDD505-2E9C-101B-9397-08002B2CF9AE}" pid="28" name="hmcheck_result_40478a9569034a52b2e4e4cb053e7e41_modifiedword">
    <vt:lpwstr>市委、市政府</vt:lpwstr>
  </property>
</Properties>
</file>