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乌苏市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百泉镇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法治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工作总结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/>
        <w:jc w:val="left"/>
        <w:textAlignment w:val="auto"/>
        <w:outlineLvl w:val="9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仿宋_GB2312" w:cs="黑体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百泉镇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坚持以习近平新时代中国特色社会主义思想为指导，深入学习贯彻党的二十大精神和习近平法治思想，认真贯彻落实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自治区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塔城地区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乌苏</w:t>
      </w:r>
      <w:r>
        <w:rPr>
          <w:rFonts w:hint="eastAsia" w:ascii="仿宋_GB2312" w:hAnsi="仿宋_GB2312" w:eastAsia="仿宋_GB2312" w:cs="仿宋_GB2312"/>
          <w:sz w:val="32"/>
          <w:szCs w:val="32"/>
        </w:rPr>
        <w:t>市各项决策部署，紧紧围绕《法治政府建设实施方案（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2025</w:t>
      </w:r>
      <w:r>
        <w:rPr>
          <w:rFonts w:hint="eastAsia" w:ascii="仿宋_GB2312" w:hAnsi="仿宋_GB2312" w:eastAsia="仿宋_GB2312" w:cs="仿宋_GB2312"/>
          <w:sz w:val="32"/>
          <w:szCs w:val="32"/>
        </w:rPr>
        <w:t>年）》目标任务，依法全面履行政府职能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全年</w:t>
      </w:r>
      <w:r>
        <w:rPr>
          <w:rFonts w:hint="eastAsia" w:ascii="仿宋_GB2312" w:hAnsi="仿宋_GB2312" w:eastAsia="仿宋_GB2312" w:cs="仿宋_GB2312"/>
          <w:sz w:val="32"/>
          <w:szCs w:val="32"/>
        </w:rPr>
        <w:t>法治政府建设工作开展情况报告如下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年法治政府建设情况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坚持政治引领，有效强化法治思维。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突出领导干部“关键少数”，坚持把理论学习作为加强党性修养、提升能力素质、增强服务本领的重要抓手，不断提高运用法治思维和法治方式深化改革、推动发展、化解纠纷、维护稳定、应对风险的能力水平。制定了《百泉镇领导干部应知应会党内法规和国家法律清单》和年度学法计划，组织学习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《中华人民共和国宪法》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《民法典》《乡村振兴促进法》等各类法律法规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次，开展学习贯彻习近平法治思想等法治建设专题会议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场次。严格落实领导班子和领导干部年度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法、国家工作人员学法考试制度，组织全镇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余名公职人员参加网上学法考试法治建设实践能力大幅提升。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健全完善机制，压紧靠实责任链条。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切实履行法治建设第一责任人职责，召开会议专题听取和研究部署法治政府建设工作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次，及时向市委、市政府和市人大常委会汇报法治政府建设有关情况，形成了从党政主要负责人到机关工作人员的责任闭环体系。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加大普法力度，提升群众法治素养。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认真实施“八五”普法规划，深入推进法治宣传计划，法治宣传志愿服务队开展“法律进农村”活动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余次，受教育群众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1500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余人次，社会公众维护公共安全意识和应对突发事件能力得到有效提升。深入学校开展“法律进学校”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场次。打造法治文化阵地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个、法治宣传栏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个、法治文化墙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面、法治图书角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个、法治广场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个、红色法治影院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个。严格筛选“法律明白人”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名，组织开展“法律明白人”培训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/>
          <w:color w:va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二、主要做法和存在问题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主要做法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Times New Roman" w:eastAsia="仿宋_GB2312" w:cs="仿宋_GB2312"/>
          <w:b/>
          <w:bCs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一是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落实学法制度，不断健全和完善普法教育工作机制。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坚持把增强全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干部职工的法治意识和依法办事能力作为推进普法教育、依法治理等各项法治实践的重要前提和基础。建立健全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每周学法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法治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培训、法规自学等学法制度。在日常工作中对全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干部进行经常性的法治教育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是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认真落实党员干部普法教育制度。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</w:t>
      </w:r>
      <w:r>
        <w:rPr>
          <w:rFonts w:hint="eastAsia" w:eastAsia="仿宋_GB2312" w:cs="Times New Roman"/>
          <w:sz w:val="32"/>
          <w:szCs w:val="32"/>
          <w:shd w:val="clear" w:fill="FFFFFF"/>
          <w:lang w:eastAsia="zh-CN"/>
        </w:rPr>
        <w:t>《中华人民共和国宪法》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</w:t>
      </w:r>
      <w:r>
        <w:rPr>
          <w:rFonts w:hint="eastAsia" w:eastAsia="仿宋_GB2312" w:cs="Times New Roman"/>
          <w:sz w:val="32"/>
          <w:szCs w:val="32"/>
          <w:lang w:eastAsia="zh-CN"/>
        </w:rPr>
        <w:t>中国共产党章程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民法典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等法律法规知识纳入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法的重要内容，将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fill="FFFFFF"/>
        </w:rPr>
        <w:t>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党规严党纪纳入党支部主题党日活动。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并利用学习强国、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法宣在线等平台，采取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集中学与个人学相结合的办法，不断更新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人员的法律知识，强化法纪意识，积极做好防范。</w:t>
      </w:r>
      <w:r>
        <w:rPr>
          <w:rFonts w:hint="eastAsia" w:ascii="仿宋_GB2312" w:hAnsi="Times New Roman" w:eastAsia="仿宋_GB2312" w:cs="仿宋_GB2312"/>
          <w:b/>
          <w:bCs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三是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狠抓普法宣传，营造浓厚法治</w:t>
      </w:r>
      <w:r>
        <w:rPr>
          <w:rFonts w:hint="eastAsia" w:ascii="仿宋_GB2312" w:hAnsi="Times New Roman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政府</w:t>
      </w:r>
      <w:r>
        <w:rPr>
          <w:rFonts w:hint="default" w:ascii="仿宋_GB2312" w:hAnsi="Times New Roman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建设氛围。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广泛通过微信群、QQ群、海报、横幅、公告栏等多种途径开展普法宣传，积极扩大普法覆盖面。按照“谁执法谁普法、谁管理谁普法、谁服务谁普法”的原则，围绕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中华人民共和国民法典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宗教事务条例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新疆维吾尔自治区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平安建设条例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eastAsia" w:eastAsia="仿宋_GB2312" w:cs="Times New Roman"/>
          <w:sz w:val="32"/>
          <w:szCs w:val="32"/>
          <w:shd w:val="clear" w:fill="FFFFFF"/>
          <w:lang w:eastAsia="zh-CN"/>
        </w:rPr>
        <w:t>《中华人民共和国宪法》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中华人民共和国土地管理法实施条例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中华人民共和国人口与计划生育法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等法律法规，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广泛开展法治宣传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组织开展“法治六进”等各类普法宣传，在重要普法时间节点通过发放宣传手册、讲座等形式开展普法宣传活动。共开展法治宣传30余次，印发各类宣传资料700余份，推动法治建设工作家喻户晓、深入人心。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持续开展城乡基层治理。结合乡村振兴战略的实施，以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 w:eastAsia="zh-CN"/>
        </w:rPr>
        <w:t>“八五”普法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活动为载体，抓实抓好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民群众的法治宣传，针对农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民致富、生产生活方面的法治需求，大力宣传相关扶持政策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组织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包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fill="FFFFFF"/>
          <w:lang w:val="en-US" w:eastAsia="zh-CN"/>
        </w:rPr>
        <w:t>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法官、律师为机关干部、党员群众及企业职工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开展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宣传讲座7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存在问题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一是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法治观念有待加强。部分党员干部法治观念还不够强，对于经济社会发展关注多，对法治建设关注研究少。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二是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法治人才较为匮乏。我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接受过正规法学教育和法治培训的人员较少，领导干部法治思维和依法行政能力存在欠缺，依法执政、依法行政的水平有待进一步提高。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三是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社会环境有待优化。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农牧民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群众的法治观念薄弱、素质不高，不配合执法、不依靠法律途径维权等现象时有发生，群众“信访不信法”的观念仍有存在。普法活动有待进一步深入，活动形式有待进一步丰富。</w:t>
      </w:r>
      <w:r>
        <w:rPr>
          <w:rFonts w:hint="default" w:ascii="Times New Roman" w:hAnsi="Times New Roman" w:cs="Times New Roman"/>
          <w:sz w:val="32"/>
          <w:szCs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年重点工作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年主要目标任务：</w:t>
      </w: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一是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从严履行主体责任。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严格履行法治政府建设职责，强化领导干部学法用法，不断提升依法执政能力水平。从严落实行政执法“三项制度”，强化考核评价和督查督办，确保法治政府建设各项目标任务落细落实。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二是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扎实推进法治政府建设。紧盯《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百泉镇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法治政府建设实施方案（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—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2025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年）》目标任务，逐步完善依法行政体系，深入推进严格规范文明执法，持续壮大法律顾问、公职律师队伍，切实提升综合法治保障能力。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三是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常态化开展法治宣传教育。深入实施“八五”普法规划，狠抓民主法治示范村创建、法律明白人培养、农村学法示范户培育“三大工程”，大力弘扬法治精神，不断提升群众法治意识，全力营造办事依法、遇事找法、解决问题用法、化解矛盾靠法的良好法治氛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（二）完成目标任务的主要措施：</w:t>
      </w:r>
      <w:r>
        <w:rPr>
          <w:rFonts w:hint="eastAsia" w:eastAsia="仿宋_GB2312" w:cs="Times New Roman"/>
          <w:b/>
          <w:bCs/>
          <w:kern w:val="2"/>
          <w:sz w:val="32"/>
          <w:szCs w:val="32"/>
          <w:lang w:val="en-US" w:eastAsia="zh-CN" w:bidi="ar-SA"/>
        </w:rPr>
        <w:t>一是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提高政治站位，强化组织领导。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党政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主要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领导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切实履行推进法治政府建设第一责任人职责，定期听取法治政府建设工作情况汇报，研究解决推进法治政府建设工作困难和问题，加强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 w:fill="FFFFFF"/>
          <w:lang w:val="en-US" w:eastAsia="zh-CN" w:bidi="ar-SA"/>
        </w:rPr>
        <w:t>镇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法治政府建设的组织领导，将法治政府建设摆在工作全局的重要位置，不断加大工作推进力度。将法治政府建设摆在工作的重要位置，建立健全法治建设工作领导机制。作为一项重要的政治任务，全面做好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 w:fill="FFFFFF"/>
          <w:lang w:val="en-US" w:eastAsia="zh-CN" w:bidi="ar-SA"/>
        </w:rPr>
        <w:t>镇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法治政府建设工作。</w:t>
      </w:r>
      <w:r>
        <w:rPr>
          <w:rFonts w:hint="eastAsia" w:eastAsia="仿宋_GB2312" w:cs="Times New Roman"/>
          <w:b/>
          <w:bCs/>
          <w:kern w:val="2"/>
          <w:sz w:val="32"/>
          <w:szCs w:val="32"/>
          <w:lang w:val="en-US" w:eastAsia="zh-CN" w:bidi="ar-SA"/>
        </w:rPr>
        <w:t>二是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加强法治学习，夯实法治基础。以“八五”普法为总体规划，加强部署安排，召开相关会议，细化落实措施，统筹抓好广大党员、干部对习近平法治思想的系统学习和教育培训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eastAsia="仿宋_GB2312" w:cs="Times New Roman"/>
          <w:b/>
          <w:bCs/>
          <w:kern w:val="2"/>
          <w:sz w:val="32"/>
          <w:szCs w:val="32"/>
          <w:lang w:val="en-US" w:eastAsia="zh-CN" w:bidi="ar-SA"/>
        </w:rPr>
        <w:t>三是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坚持宣传教育，提升法治意识。以治安防范宣传、普法宣传、《条例》宣传、禁毒宣传等内容为宣传重点，积极提升居民的安全防范意识和法律意识。在治安防范宣传中，通过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展板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、宣传单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座谈会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以及相关短视频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等形式，积极向广大群众宣传防范知识，提高居民自防能力。如针对一些网络诈骗、养老诈骗等情况，深入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村队农户家中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，开展现场警示教育，以提高群众的防范能力。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6077" w:leftChars="608" w:hanging="4800" w:hangingChars="15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6077" w:leftChars="608" w:hanging="4800" w:hangingChars="15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6066" w:leftChars="2584" w:hanging="640" w:hanging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乌苏市百泉镇人民政府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/>
        <w:jc w:val="left"/>
        <w:textAlignment w:val="auto"/>
        <w:outlineLvl w:val="9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  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日         </w:t>
      </w:r>
    </w:p>
    <w:sectPr>
      <w:footerReference r:id="rId3" w:type="default"/>
      <w:pgSz w:w="11906" w:h="16838"/>
      <w:pgMar w:top="2098" w:right="1531" w:bottom="1984" w:left="1531" w:header="851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Theme="minorEastAsia" w:hAnsiTheme="minorEastAsia" w:eastAsiaTheme="minorEastAsia" w:cstheme="minorEastAsia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367887"/>
    <w:multiLevelType w:val="singleLevel"/>
    <w:tmpl w:val="0A367887"/>
    <w:lvl w:ilvl="0" w:tentative="0">
      <w:start w:val="1"/>
      <w:numFmt w:val="chineseCounting"/>
      <w:suff w:val="nothing"/>
      <w:lvlText w:val="（%1）"/>
      <w:lvlJc w:val="left"/>
      <w:rPr>
        <w:rFonts w:hint="eastAsia" w:ascii="楷体_GB2312" w:hAnsi="楷体_GB2312" w:eastAsia="楷体_GB2312" w:cs="楷体_GB231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4ZTczMjFhNWQyNmM1NWJiMzAwNTNkZWFkOWJiZTUifQ=="/>
  </w:docVars>
  <w:rsids>
    <w:rsidRoot w:val="219240E0"/>
    <w:rsid w:val="14B721B1"/>
    <w:rsid w:val="1E782667"/>
    <w:rsid w:val="219240E0"/>
    <w:rsid w:val="238735C1"/>
    <w:rsid w:val="2E711609"/>
    <w:rsid w:val="35EA161B"/>
    <w:rsid w:val="3672461E"/>
    <w:rsid w:val="374435F3"/>
    <w:rsid w:val="4CB91BDD"/>
    <w:rsid w:val="53C438F2"/>
    <w:rsid w:val="56F42B59"/>
    <w:rsid w:val="56FF2E93"/>
    <w:rsid w:val="64246A4D"/>
    <w:rsid w:val="6D4644B4"/>
    <w:rsid w:val="7AAB64DE"/>
    <w:rsid w:val="7D03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customStyle="1" w:styleId="3">
    <w:name w:val="Body Text 21"/>
    <w:basedOn w:val="1"/>
    <w:autoRedefine/>
    <w:qFormat/>
    <w:uiPriority w:val="0"/>
    <w:pPr>
      <w:spacing w:after="120" w:line="480" w:lineRule="auto"/>
    </w:pPr>
    <w:rPr>
      <w:rFonts w:eastAsia="仿宋_GB2312"/>
      <w:sz w:val="32"/>
      <w:szCs w:val="32"/>
    </w:rPr>
  </w:style>
  <w:style w:type="paragraph" w:styleId="4">
    <w:name w:val="footer"/>
    <w:basedOn w:val="1"/>
    <w:autoRedefine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eastAsia="宋体" w:asciiTheme="minorHAnsi" w:hAnsiTheme="minorHAnsi" w:cstheme="minorBidi"/>
      <w:kern w:val="2"/>
      <w:sz w:val="18"/>
      <w:szCs w:val="22"/>
      <w:lang w:val="en-US" w:eastAsia="zh-CN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"/>
    <w:basedOn w:val="2"/>
    <w:next w:val="1"/>
    <w:autoRedefine/>
    <w:qFormat/>
    <w:uiPriority w:val="0"/>
    <w:pPr>
      <w:spacing w:after="120"/>
      <w:ind w:firstLine="420" w:firstLineChars="100"/>
    </w:pPr>
    <w:rPr>
      <w:sz w:val="30"/>
    </w:rPr>
  </w:style>
  <w:style w:type="character" w:styleId="10">
    <w:name w:val="Strong"/>
    <w:basedOn w:val="9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2024-03-06T04:53:00Z</dcterms:created>
  <dc:creator>Administrator</dc:creator>
  <cp:lastModifiedBy>喜文</cp:lastModifiedBy>
  <dcterms:modified xsi:type="dcterms:W3CDTF">2024-03-29T02:12:53Z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ED8239046CB746E3AC2ECA6A834DFED9_13</vt:lpwstr>
  </property>
  <property fmtid="{D5CDD505-2E9C-101B-9397-08002B2CF9AE}" pid="4" name="hmcheck_markmode">
    <vt:i4>0</vt:i4>
  </property>
</Properties>
</file>