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小标宋简体"/>
          <w:b/>
          <w:sz w:val="52"/>
        </w:rPr>
      </w:pPr>
      <w:bookmarkStart w:id="0" w:name="_Hlk159794197"/>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_GB2312" w:hAnsi="宋体" w:eastAsia="方正小标宋简体" w:cs="方正小标宋_GBK"/>
          <w:sz w:val="32"/>
          <w:szCs w:val="32"/>
          <w:lang w:eastAsia="zh-CN"/>
        </w:rPr>
      </w:pPr>
      <w:r>
        <w:rPr>
          <w:rFonts w:hint="eastAsia" w:eastAsia="方正小标宋简体"/>
          <w:b/>
          <w:color w:val="FF0000"/>
          <w:spacing w:val="17"/>
          <w:sz w:val="66"/>
        </w:rPr>
        <w:t>乌苏市</w:t>
      </w:r>
      <w:r>
        <w:rPr>
          <w:rFonts w:hint="eastAsia" w:eastAsia="方正小标宋简体"/>
          <w:b/>
          <w:color w:val="FF0000"/>
          <w:spacing w:val="17"/>
          <w:sz w:val="66"/>
          <w:lang w:eastAsia="zh-CN"/>
        </w:rPr>
        <w:t>皇宫镇人民政府文件</w:t>
      </w:r>
    </w:p>
    <w:p>
      <w:pPr>
        <w:spacing w:line="580" w:lineRule="exact"/>
        <w:jc w:val="center"/>
        <w:rPr>
          <w:rFonts w:ascii="仿宋_GB2312" w:hAnsi="宋体" w:eastAsia="仿宋_GB2312"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880" w:firstLineChars="900"/>
        <w:jc w:val="both"/>
        <w:textAlignment w:val="auto"/>
        <w:rPr>
          <w:rFonts w:ascii="仿宋_GB2312" w:hAnsi="华文中宋" w:eastAsia="仿宋_GB2312"/>
          <w:bCs/>
          <w:color w:val="auto"/>
          <w:sz w:val="32"/>
          <w:szCs w:val="32"/>
          <w:highlight w:val="none"/>
        </w:rPr>
      </w:pPr>
      <w:r>
        <w:rPr>
          <w:rFonts w:hint="eastAsia" w:ascii="仿宋_GB2312" w:hAnsi="华文中宋" w:eastAsia="仿宋_GB2312"/>
          <w:bCs/>
          <w:color w:val="auto"/>
          <w:sz w:val="32"/>
          <w:szCs w:val="32"/>
          <w:highlight w:val="none"/>
          <w:shd w:val="clear" w:fill="FFFFFF"/>
          <w:lang w:eastAsia="zh-CN"/>
        </w:rPr>
        <w:t>皇</w:t>
      </w:r>
      <w:r>
        <w:rPr>
          <w:rFonts w:hint="eastAsia" w:ascii="仿宋_GB2312" w:hAnsi="华文中宋" w:eastAsia="仿宋_GB2312"/>
          <w:bCs/>
          <w:color w:val="auto"/>
          <w:sz w:val="32"/>
          <w:szCs w:val="32"/>
          <w:highlight w:val="none"/>
          <w:lang w:eastAsia="zh-CN"/>
        </w:rPr>
        <w:t>政发</w:t>
      </w:r>
      <w:r>
        <w:rPr>
          <w:rFonts w:hint="eastAsia" w:ascii="仿宋_GB2312" w:hAnsi="华文中宋" w:eastAsia="仿宋_GB2312"/>
          <w:bCs/>
          <w:color w:val="auto"/>
          <w:sz w:val="32"/>
          <w:szCs w:val="32"/>
          <w:highlight w:val="none"/>
        </w:rPr>
        <w:t>〔</w:t>
      </w:r>
      <w:r>
        <w:rPr>
          <w:rFonts w:hint="default" w:ascii="Times New Roman" w:hAnsi="Times New Roman" w:eastAsia="仿宋_GB2312" w:cs="Times New Roman"/>
          <w:bCs/>
          <w:color w:val="auto"/>
          <w:sz w:val="32"/>
          <w:szCs w:val="32"/>
          <w:highlight w:val="none"/>
        </w:rPr>
        <w:t>20</w:t>
      </w:r>
      <w:r>
        <w:rPr>
          <w:rFonts w:hint="default" w:ascii="Times New Roman" w:hAnsi="Times New Roman" w:eastAsia="仿宋_GB2312" w:cs="Times New Roman"/>
          <w:bCs/>
          <w:color w:val="auto"/>
          <w:sz w:val="32"/>
          <w:szCs w:val="32"/>
          <w:highlight w:val="none"/>
          <w:lang w:val="en-US" w:eastAsia="zh-CN"/>
        </w:rPr>
        <w:t>24</w:t>
      </w:r>
      <w:r>
        <w:rPr>
          <w:rFonts w:hint="eastAsia" w:ascii="仿宋_GB2312" w:hAnsi="华文中宋" w:eastAsia="仿宋_GB2312"/>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5</w:t>
      </w:r>
      <w:r>
        <w:rPr>
          <w:rFonts w:hint="eastAsia" w:ascii="仿宋_GB2312" w:hAnsi="华文中宋" w:eastAsia="仿宋_GB2312"/>
          <w:bCs/>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sz w:val="36"/>
          <w:szCs w:val="36"/>
          <w:lang w:val="en-US" w:eastAsia="zh-CN"/>
        </w:rPr>
      </w:pPr>
      <w:r>
        <w:rPr>
          <w:rFonts w:ascii="仿宋_GB2312" w:eastAsia="仿宋_GB2312"/>
          <w:bCs/>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-178435</wp:posOffset>
                </wp:positionH>
                <wp:positionV relativeFrom="paragraph">
                  <wp:posOffset>182880</wp:posOffset>
                </wp:positionV>
                <wp:extent cx="5503545" cy="63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50354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5pt;margin-top:14.4pt;height:0.05pt;width:433.35pt;z-index:251664384;mso-width-relative:page;mso-height-relative:page;" filled="f" stroked="t" coordsize="21600,21600" o:gfxdata="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fvevNkAAAAJAQAADwAAAAAAAAABACAAAAAiAAAAZHJzL2Rvd25yZXYu&#10;eG1sUEsBAhQAFAAAAAgAh07iQPTzQkX6AQAA6QMAAA4AAAAAAAAAAQAgAAAAKAEAAGRycy9lMm9E&#10;b2MueG1sUEsFBgAAAAAGAAYAWQEAAJQFAAAAAA==&#10;">
                <v:fill on="f" focussize="0,0"/>
                <v:stroke weight="1.5pt" color="#FF0000" joinstyle="round"/>
                <v:imagedata o:title=""/>
                <o:lock v:ext="edit" aspectratio="f"/>
              </v:line>
            </w:pict>
          </mc:Fallback>
        </mc:AlternateContent>
      </w:r>
    </w:p>
    <w:bookmarkEnd w:id="0"/>
    <w:p>
      <w:pPr>
        <w:keepNext w:val="0"/>
        <w:keepLines w:val="0"/>
        <w:pageBreakBefore w:val="0"/>
        <w:widowControl w:val="0"/>
        <w:kinsoku/>
        <w:wordWrap/>
        <w:overflowPunct/>
        <w:topLinePunct w:val="0"/>
        <w:autoSpaceDE/>
        <w:autoSpaceDN/>
        <w:bidi w:val="0"/>
        <w:adjustRightInd/>
        <w:snapToGrid/>
        <w:spacing w:after="0"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皇宫</w:t>
      </w:r>
      <w:r>
        <w:rPr>
          <w:rFonts w:hint="eastAsia" w:ascii="方正小标宋简体" w:hAnsi="方正小标宋简体" w:eastAsia="方正小标宋简体" w:cs="方正小标宋简体"/>
          <w:b w:val="0"/>
          <w:bCs w:val="0"/>
          <w:color w:val="auto"/>
          <w:sz w:val="44"/>
          <w:szCs w:val="44"/>
          <w:shd w:val="clear" w:fill="FFFFFF"/>
          <w:lang w:val="en-US" w:eastAsia="zh-CN"/>
        </w:rPr>
        <w:t>镇</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9"/>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皇宫镇人民政府始终坚持以习近平新时代中国特色社会主义思想为指导，全面系统深入学习贯彻党的二十大精神和习近平法治思想，认真贯彻落实习近平总书记关于政府工作的重要讲话和重要指示批示精神，深刻领悟“两个确立”的决定性意义，增强“四个意识”、坚定“四个自信”、做到“两个维护”。全面落实中央《法治政府建设实施纲要（</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2025</w:t>
      </w:r>
      <w:r>
        <w:rPr>
          <w:rFonts w:hint="eastAsia" w:ascii="仿宋_GB2312" w:hAnsi="仿宋_GB2312" w:eastAsia="仿宋_GB2312" w:cs="仿宋_GB2312"/>
          <w:sz w:val="32"/>
          <w:szCs w:val="32"/>
          <w:lang w:val="en-US" w:eastAsia="zh-CN"/>
        </w:rPr>
        <w:t>年）》，坚持以人民为中心的发展思想，扎实推进依法行政，全面建设法治政府，坚持依法行政为高质量发展保驾护航。现将有关情况报告如下：</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default" w:ascii="Times New Roman" w:hAnsi="Times New Roman" w:eastAsia="黑体" w:cs="Times New Roman"/>
          <w:sz w:val="32"/>
          <w:szCs w:val="32"/>
          <w:lang w:val="en-US" w:eastAsia="zh-CN"/>
        </w:rPr>
        <w:t>2023</w:t>
      </w:r>
      <w:r>
        <w:rPr>
          <w:rFonts w:hint="eastAsia" w:ascii="黑体" w:hAnsi="黑体" w:eastAsia="黑体" w:cs="黑体"/>
          <w:sz w:val="32"/>
          <w:szCs w:val="32"/>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（一）深入学习贯彻习近平法治思想。</w:t>
      </w:r>
      <w:r>
        <w:rPr>
          <w:rFonts w:hint="eastAsia" w:ascii="仿宋_GB2312" w:hAnsi="仿宋_GB2312" w:eastAsia="仿宋_GB2312" w:cs="仿宋_GB2312"/>
          <w:sz w:val="32"/>
          <w:szCs w:val="32"/>
          <w:lang w:val="en-US" w:eastAsia="zh-CN"/>
        </w:rPr>
        <w:t>以“党政负责人履行法治建设第一责任制度”为重点，认真组织开展中心组学法活动， 把习近平法治思想纳入党委理论学习中心组学习，推动领导干部带头学法、模范守法；推进习近平法治思想进机关、进单位、进农村、进社区、进企业、进学校、进网络“七进”工作，加强《习近平法治思想学习纲要》等权威读本的学习宣传，定期举办党政领导干部法治专题讲座。</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年，皇宫镇组织习近平法治思想专题学习</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次，开展专题讲座</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次，党员干部学法用法能力得到进一步提高。</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（二）强化组织领导，确保依法治镇取得实效。</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年，我镇调整充实了全面依法治镇委员会，明确由党政主要负责人亲自抓，定期召开党政联席会对依法治镇工作进行专题研究，统筹推进法治政府建设。</w:t>
      </w:r>
      <w:r>
        <w:rPr>
          <w:rFonts w:hint="eastAsia" w:ascii="仿宋_GB2312" w:hAnsi="仿宋_GB2312" w:eastAsia="仿宋_GB2312" w:cs="仿宋_GB2312"/>
          <w:b/>
          <w:bCs/>
          <w:sz w:val="32"/>
          <w:szCs w:val="32"/>
          <w:lang w:val="en-US" w:eastAsia="zh-CN"/>
        </w:rPr>
        <w:t>一是将听取法治建设情况纳入党政联席会议重要议程，</w:t>
      </w:r>
      <w:r>
        <w:rPr>
          <w:rFonts w:hint="eastAsia" w:ascii="仿宋_GB2312" w:hAnsi="仿宋_GB2312" w:eastAsia="仿宋_GB2312" w:cs="仿宋_GB2312"/>
          <w:sz w:val="32"/>
          <w:szCs w:val="32"/>
          <w:lang w:val="en-US" w:eastAsia="zh-CN"/>
        </w:rPr>
        <w:t>听取相关工作汇报，及时解决法治建设工作中的实际问题。</w:t>
      </w:r>
      <w:r>
        <w:rPr>
          <w:rFonts w:hint="eastAsia" w:ascii="仿宋_GB2312" w:hAnsi="仿宋_GB2312" w:eastAsia="仿宋_GB2312" w:cs="仿宋_GB2312"/>
          <w:b/>
          <w:bCs/>
          <w:sz w:val="32"/>
          <w:szCs w:val="32"/>
          <w:lang w:val="en-US" w:eastAsia="zh-CN"/>
        </w:rPr>
        <w:t>二是将法治建设与党建、经济各项工作同研究、同部署、同落实，</w:t>
      </w:r>
      <w:r>
        <w:rPr>
          <w:rFonts w:hint="eastAsia" w:ascii="仿宋_GB2312" w:hAnsi="仿宋_GB2312" w:eastAsia="仿宋_GB2312" w:cs="仿宋_GB2312"/>
          <w:sz w:val="32"/>
          <w:szCs w:val="32"/>
          <w:lang w:val="en-US" w:eastAsia="zh-CN"/>
        </w:rPr>
        <w:t>依法规范镇村两级党务、政务、村务规范化管理，主动接受人大法律监督、自觉接受司法监督、社会监督和舆论监督，不断提高决策科学化、民主化、法治化水平。</w:t>
      </w:r>
      <w:r>
        <w:rPr>
          <w:rFonts w:hint="eastAsia" w:ascii="仿宋_GB2312" w:hAnsi="仿宋_GB2312" w:eastAsia="仿宋_GB2312" w:cs="仿宋_GB2312"/>
          <w:b/>
          <w:bCs/>
          <w:sz w:val="32"/>
          <w:szCs w:val="32"/>
          <w:lang w:val="en-US" w:eastAsia="zh-CN"/>
        </w:rPr>
        <w:t>三是本年度主持召开依法治镇委员会会议</w:t>
      </w: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次，听取法治建设工作汇报</w:t>
      </w: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仿宋_GB2312"/>
          <w:b/>
          <w:bCs/>
          <w:sz w:val="32"/>
          <w:szCs w:val="32"/>
          <w:lang w:val="en-US" w:eastAsia="zh-CN"/>
        </w:rPr>
        <w:t>次，</w:t>
      </w:r>
      <w:r>
        <w:rPr>
          <w:rFonts w:hint="eastAsia" w:ascii="仿宋_GB2312" w:hAnsi="仿宋_GB2312" w:eastAsia="仿宋_GB2312" w:cs="仿宋_GB2312"/>
          <w:sz w:val="32"/>
          <w:szCs w:val="32"/>
          <w:lang w:val="en-US" w:eastAsia="zh-CN"/>
        </w:rPr>
        <w:t>对依法治村、合法性审查、法治文化阵地建设等工作作重点安排部署。</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auto"/>
          <w:spacing w:val="0"/>
          <w:kern w:val="0"/>
          <w:sz w:val="32"/>
          <w:szCs w:val="32"/>
          <w:lang w:val="en-US" w:eastAsia="zh-CN" w:bidi="ar"/>
        </w:rPr>
        <w:t>（三）加强普法宣传，营造良好学法氛围。</w:t>
      </w:r>
      <w:r>
        <w:rPr>
          <w:rFonts w:hint="eastAsia" w:ascii="仿宋_GB2312" w:hAnsi="仿宋_GB2312" w:eastAsia="仿宋_GB2312" w:cs="仿宋_GB2312"/>
          <w:b/>
          <w:bCs/>
          <w:sz w:val="32"/>
          <w:szCs w:val="32"/>
          <w:lang w:val="en-US" w:eastAsia="zh-CN"/>
        </w:rPr>
        <w:t>一是加强法治宣传教育，组织实施“八五”普法规划。</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年是“八五”普法中期验收之年，我镇以“</w:t>
      </w:r>
      <w:r>
        <w:rPr>
          <w:rFonts w:hint="eastAsia" w:ascii="仿宋_GB2312" w:hAnsi="仿宋_GB2312" w:eastAsia="仿宋_GB2312" w:cs="仿宋_GB2312"/>
          <w:sz w:val="32"/>
          <w:szCs w:val="32"/>
          <w:shd w:val="clear" w:fill="F5C0F2"/>
          <w:lang w:val="en-US" w:eastAsia="zh-CN"/>
        </w:rPr>
        <w:t>遵</w:t>
      </w:r>
      <w:r>
        <w:rPr>
          <w:rFonts w:hint="eastAsia" w:ascii="仿宋_GB2312" w:hAnsi="仿宋_GB2312" w:eastAsia="仿宋_GB2312" w:cs="仿宋_GB2312"/>
          <w:sz w:val="32"/>
          <w:szCs w:val="32"/>
          <w:lang w:val="en-US" w:eastAsia="zh-CN"/>
        </w:rPr>
        <w:t>法、学法、守法、用法”为主线，按照加大全民普法力度，建设社会主义法治文化，认真贯彻落实“八五”普法规划，广泛开展法治宣传教育，扎实推进法治建设工作，为促进经济社会平稳较快发展营造良好的法治环境。</w:t>
      </w:r>
      <w:r>
        <w:rPr>
          <w:rFonts w:hint="eastAsia" w:ascii="仿宋_GB2312" w:hAnsi="仿宋_GB2312" w:eastAsia="仿宋_GB2312" w:cs="仿宋_GB2312"/>
          <w:b/>
          <w:bCs/>
          <w:sz w:val="32"/>
          <w:szCs w:val="32"/>
          <w:lang w:val="en-US" w:eastAsia="zh-CN"/>
        </w:rPr>
        <w:t>二是严格执行“谁执法谁普法”年度普法责任清单制。</w:t>
      </w:r>
      <w:r>
        <w:rPr>
          <w:rFonts w:hint="eastAsia" w:ascii="仿宋_GB2312" w:hAnsi="仿宋_GB2312" w:eastAsia="仿宋_GB2312" w:cs="仿宋_GB2312"/>
          <w:sz w:val="32"/>
          <w:szCs w:val="32"/>
          <w:lang w:val="en-US" w:eastAsia="zh-CN"/>
        </w:rPr>
        <w:t>严格落实国家机关“谁执法谁普法”普法责任制，严格按照年初制定的</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年度普法责任清单开展法治工作，安排部署相关依法治镇工作。督促全镇</w:t>
      </w:r>
      <w:r>
        <w:rPr>
          <w:rFonts w:hint="default" w:ascii="Times New Roman" w:hAnsi="Times New Roman" w:eastAsia="仿宋_GB2312" w:cs="Times New Roman"/>
          <w:sz w:val="32"/>
          <w:szCs w:val="32"/>
          <w:lang w:val="en-US" w:eastAsia="zh-CN"/>
        </w:rPr>
        <w:t>54</w:t>
      </w:r>
      <w:r>
        <w:rPr>
          <w:rFonts w:hint="eastAsia" w:ascii="仿宋_GB2312" w:hAnsi="仿宋_GB2312" w:eastAsia="仿宋_GB2312" w:cs="仿宋_GB2312"/>
          <w:sz w:val="32"/>
          <w:szCs w:val="32"/>
          <w:lang w:val="en-US" w:eastAsia="zh-CN"/>
        </w:rPr>
        <w:t>名领导干部进行法宣在线学习，参考率</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%，及格率</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三是大力开展法治宣传教育活动。</w:t>
      </w:r>
      <w:r>
        <w:rPr>
          <w:rFonts w:hint="eastAsia" w:ascii="仿宋_GB2312" w:hAnsi="仿宋_GB2312" w:eastAsia="仿宋_GB2312" w:cs="仿宋_GB2312"/>
          <w:sz w:val="32"/>
          <w:szCs w:val="32"/>
          <w:lang w:val="en-US" w:eastAsia="zh-CN"/>
        </w:rPr>
        <w:t>全镇</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个行政村已实现“三个一”法治文化阵地全覆盖，同时建设完成沙枣林村法治文化长廊精品法治文化阵地，</w:t>
      </w:r>
      <w:r>
        <w:rPr>
          <w:rFonts w:hint="eastAsia" w:ascii="仿宋_GB2312" w:hAnsi="仿宋_GB2312" w:eastAsia="仿宋_GB2312" w:cs="仿宋_GB2312"/>
          <w:sz w:val="32"/>
          <w:szCs w:val="32"/>
          <w:shd w:val="clear" w:fill="FFFFFF"/>
          <w:lang w:val="en-US" w:eastAsia="zh-CN"/>
        </w:rPr>
        <w:t>镇</w:t>
      </w:r>
      <w:r>
        <w:rPr>
          <w:rFonts w:hint="eastAsia" w:ascii="仿宋_GB2312" w:hAnsi="仿宋_GB2312" w:eastAsia="仿宋_GB2312" w:cs="仿宋_GB2312"/>
          <w:sz w:val="32"/>
          <w:szCs w:val="32"/>
          <w:lang w:val="en-US" w:eastAsia="zh-CN"/>
        </w:rPr>
        <w:t>法治文化广场也已建成并投入使用。利用镇、村已建成各类法治宣传教育阵地，广泛开展群众性法治文化活动，提升法治宣传教育工作质效。如沙枣林村定期举办法治长廊普法小课堂，</w:t>
      </w:r>
      <w:r>
        <w:rPr>
          <w:rFonts w:hint="eastAsia" w:ascii="仿宋_GB2312" w:hAnsi="仿宋_GB2312" w:eastAsia="仿宋_GB2312" w:cs="仿宋_GB2312"/>
          <w:sz w:val="32"/>
          <w:szCs w:val="32"/>
          <w:shd w:val="clear" w:fill="FFFFFF"/>
          <w:lang w:val="en-US" w:eastAsia="zh-CN"/>
        </w:rPr>
        <w:t>镇</w:t>
      </w:r>
      <w:r>
        <w:rPr>
          <w:rFonts w:hint="eastAsia" w:ascii="仿宋_GB2312" w:hAnsi="仿宋_GB2312" w:eastAsia="仿宋_GB2312" w:cs="仿宋_GB2312"/>
          <w:sz w:val="32"/>
          <w:szCs w:val="32"/>
          <w:lang w:val="en-US" w:eastAsia="zh-CN"/>
        </w:rPr>
        <w:t>各普法责任单位开展“周末便民法治大集市”活动</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余场次，为全镇人民群众营造了良好的</w:t>
      </w:r>
      <w:r>
        <w:rPr>
          <w:rFonts w:hint="eastAsia" w:ascii="仿宋_GB2312" w:hAnsi="仿宋_GB2312" w:eastAsia="仿宋_GB2312" w:cs="仿宋_GB2312"/>
          <w:sz w:val="32"/>
          <w:szCs w:val="32"/>
          <w:shd w:val="clear" w:fill="FFFFFF"/>
          <w:lang w:val="en-US" w:eastAsia="zh-CN"/>
        </w:rPr>
        <w:t>遵</w:t>
      </w:r>
      <w:r>
        <w:rPr>
          <w:rFonts w:hint="eastAsia" w:ascii="仿宋_GB2312" w:hAnsi="仿宋_GB2312" w:eastAsia="仿宋_GB2312" w:cs="仿宋_GB2312"/>
          <w:sz w:val="32"/>
          <w:szCs w:val="32"/>
          <w:lang w:val="en-US" w:eastAsia="zh-CN"/>
        </w:rPr>
        <w:t>法、学法、守法、用法的社会氛围。</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年，全镇开展各类法治宣传</w:t>
      </w:r>
      <w:r>
        <w:rPr>
          <w:rFonts w:hint="default" w:ascii="Times New Roman" w:hAnsi="Times New Roman" w:eastAsia="仿宋_GB2312" w:cs="Times New Roman"/>
          <w:sz w:val="32"/>
          <w:szCs w:val="32"/>
          <w:lang w:val="en-US" w:eastAsia="zh-CN"/>
        </w:rPr>
        <w:t>50</w:t>
      </w:r>
      <w:r>
        <w:rPr>
          <w:rFonts w:hint="eastAsia" w:ascii="仿宋_GB2312" w:hAnsi="仿宋_GB2312" w:eastAsia="仿宋_GB2312" w:cs="仿宋_GB2312"/>
          <w:sz w:val="32"/>
          <w:szCs w:val="32"/>
          <w:lang w:val="en-US" w:eastAsia="zh-CN"/>
        </w:rPr>
        <w:t>余次，发放宣传册</w:t>
      </w:r>
      <w:r>
        <w:rPr>
          <w:rFonts w:hint="default" w:ascii="Times New Roman" w:hAnsi="Times New Roman" w:eastAsia="仿宋_GB2312" w:cs="Times New Roman"/>
          <w:sz w:val="32"/>
          <w:szCs w:val="32"/>
          <w:lang w:val="en-US" w:eastAsia="zh-CN"/>
        </w:rPr>
        <w:t>1500</w:t>
      </w:r>
      <w:r>
        <w:rPr>
          <w:rFonts w:hint="eastAsia" w:ascii="仿宋_GB2312" w:hAnsi="仿宋_GB2312" w:eastAsia="仿宋_GB2312" w:cs="仿宋_GB2312"/>
          <w:sz w:val="32"/>
          <w:szCs w:val="32"/>
          <w:lang w:val="en-US" w:eastAsia="zh-CN"/>
        </w:rPr>
        <w:t>余册，提供法律咨询</w:t>
      </w:r>
      <w:r>
        <w:rPr>
          <w:rFonts w:hint="default" w:ascii="Times New Roman" w:hAnsi="Times New Roman" w:eastAsia="仿宋_GB2312" w:cs="Times New Roman"/>
          <w:sz w:val="32"/>
          <w:szCs w:val="32"/>
          <w:lang w:val="en-US" w:eastAsia="zh-CN"/>
        </w:rPr>
        <w:t>70</w:t>
      </w:r>
      <w:r>
        <w:rPr>
          <w:rFonts w:hint="eastAsia" w:ascii="仿宋_GB2312" w:hAnsi="仿宋_GB2312" w:eastAsia="仿宋_GB2312" w:cs="仿宋_GB2312"/>
          <w:sz w:val="32"/>
          <w:szCs w:val="32"/>
          <w:lang w:val="en-US" w:eastAsia="zh-CN"/>
        </w:rPr>
        <w:t>余人次。</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auto"/>
          <w:spacing w:val="0"/>
          <w:kern w:val="0"/>
          <w:sz w:val="32"/>
          <w:szCs w:val="32"/>
          <w:lang w:val="en-US" w:eastAsia="zh-CN" w:bidi="ar"/>
        </w:rPr>
        <w:t>（四）深入推进法治实践，全面提升法治化水平。</w:t>
      </w:r>
      <w:r>
        <w:rPr>
          <w:rFonts w:hint="eastAsia" w:ascii="仿宋_GB2312" w:hAnsi="仿宋_GB2312" w:eastAsia="仿宋_GB2312" w:cs="仿宋_GB2312"/>
          <w:b/>
          <w:bCs/>
          <w:sz w:val="32"/>
          <w:szCs w:val="32"/>
          <w:lang w:val="en-US" w:eastAsia="zh-CN"/>
        </w:rPr>
        <w:t>一是积极推进法律服务工作。</w:t>
      </w:r>
      <w:r>
        <w:rPr>
          <w:rFonts w:hint="eastAsia" w:ascii="仿宋_GB2312" w:hAnsi="仿宋_GB2312" w:eastAsia="仿宋_GB2312" w:cs="仿宋_GB2312"/>
          <w:sz w:val="32"/>
          <w:szCs w:val="32"/>
          <w:lang w:val="en-US" w:eastAsia="zh-CN" w:bidi="ar-SA"/>
        </w:rPr>
        <w:t>皇宫</w:t>
      </w:r>
      <w:r>
        <w:rPr>
          <w:rFonts w:hint="eastAsia" w:ascii="仿宋_GB2312" w:hAnsi="仿宋_GB2312" w:eastAsia="仿宋_GB2312" w:cs="仿宋_GB2312"/>
          <w:sz w:val="32"/>
          <w:szCs w:val="32"/>
          <w:shd w:val="clear" w:fill="FFFFFF"/>
          <w:lang w:val="en-US" w:eastAsia="zh-CN" w:bidi="ar-SA"/>
        </w:rPr>
        <w:t>镇</w:t>
      </w:r>
      <w:r>
        <w:rPr>
          <w:rFonts w:hint="eastAsia" w:ascii="仿宋_GB2312" w:hAnsi="仿宋_GB2312" w:eastAsia="仿宋_GB2312" w:cs="仿宋_GB2312"/>
          <w:sz w:val="32"/>
          <w:szCs w:val="32"/>
          <w:lang w:val="en-US" w:eastAsia="zh-CN" w:bidi="ar-SA"/>
        </w:rPr>
        <w:t>现已建立一个公共法律服务站，</w:t>
      </w:r>
      <w:r>
        <w:rPr>
          <w:rFonts w:hint="default" w:ascii="Times New Roman" w:hAnsi="Times New Roman" w:eastAsia="仿宋_GB2312" w:cs="Times New Roman"/>
          <w:sz w:val="32"/>
          <w:szCs w:val="32"/>
          <w:lang w:val="en-US" w:eastAsia="zh-CN" w:bidi="ar-SA"/>
        </w:rPr>
        <w:t>10</w:t>
      </w:r>
      <w:r>
        <w:rPr>
          <w:rFonts w:hint="eastAsia" w:ascii="仿宋_GB2312" w:hAnsi="仿宋_GB2312" w:eastAsia="仿宋_GB2312" w:cs="仿宋_GB2312"/>
          <w:sz w:val="32"/>
          <w:szCs w:val="32"/>
          <w:lang w:val="en-US" w:eastAsia="zh-CN" w:bidi="ar-SA"/>
        </w:rPr>
        <w:t>个公共法律服务工作室，实现“一村一法律顾问”，聘请村级法律顾问为各村提供矛盾纠纷调处、普法宣传等相关工作的指导、协助。</w:t>
      </w:r>
      <w:r>
        <w:rPr>
          <w:rFonts w:hint="default" w:ascii="Times New Roman" w:hAnsi="Times New Roman" w:eastAsia="仿宋_GB2312" w:cs="Times New Roman"/>
          <w:sz w:val="32"/>
          <w:szCs w:val="32"/>
          <w:lang w:val="en-US" w:eastAsia="zh-CN" w:bidi="ar-SA"/>
        </w:rPr>
        <w:t>2023</w:t>
      </w:r>
      <w:r>
        <w:rPr>
          <w:rFonts w:hint="eastAsia" w:ascii="仿宋_GB2312" w:hAnsi="仿宋_GB2312" w:eastAsia="仿宋_GB2312" w:cs="仿宋_GB2312"/>
          <w:sz w:val="32"/>
          <w:szCs w:val="32"/>
          <w:lang w:val="en-US" w:eastAsia="zh-CN" w:bidi="ar-SA"/>
        </w:rPr>
        <w:t>年共办理法律援助初审</w:t>
      </w:r>
      <w:r>
        <w:rPr>
          <w:rFonts w:hint="default" w:ascii="Times New Roman" w:hAnsi="Times New Roman" w:eastAsia="仿宋_GB2312" w:cs="Times New Roman"/>
          <w:sz w:val="32"/>
          <w:szCs w:val="32"/>
          <w:lang w:val="en-US" w:eastAsia="zh-CN" w:bidi="ar-SA"/>
        </w:rPr>
        <w:t>3</w:t>
      </w:r>
      <w:r>
        <w:rPr>
          <w:rFonts w:hint="eastAsia" w:ascii="仿宋_GB2312" w:hAnsi="仿宋_GB2312" w:eastAsia="仿宋_GB2312" w:cs="仿宋_GB2312"/>
          <w:sz w:val="32"/>
          <w:szCs w:val="32"/>
          <w:lang w:val="en-US" w:eastAsia="zh-CN" w:bidi="ar-SA"/>
        </w:rPr>
        <w:t>件。</w:t>
      </w:r>
      <w:r>
        <w:rPr>
          <w:rFonts w:hint="eastAsia" w:ascii="仿宋_GB2312" w:hAnsi="仿宋_GB2312" w:eastAsia="仿宋_GB2312" w:cs="仿宋_GB2312"/>
          <w:b/>
          <w:bCs/>
          <w:sz w:val="32"/>
          <w:szCs w:val="32"/>
          <w:lang w:val="en-US" w:eastAsia="zh-CN"/>
        </w:rPr>
        <w:t>二是充分发挥人民调解工作作用。</w:t>
      </w:r>
      <w:r>
        <w:rPr>
          <w:rFonts w:hint="eastAsia" w:ascii="仿宋_GB2312" w:hAnsi="仿宋_GB2312" w:eastAsia="仿宋_GB2312" w:cs="仿宋_GB2312"/>
          <w:sz w:val="32"/>
          <w:szCs w:val="32"/>
          <w:lang w:val="en-US" w:eastAsia="zh-CN"/>
        </w:rPr>
        <w:t>皇宫镇已经建立完善人民调解委员会</w:t>
      </w:r>
      <w:r>
        <w:rPr>
          <w:rFonts w:hint="default"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个（镇调委会</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个，村级</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个），共有调解人员</w:t>
      </w:r>
      <w:r>
        <w:rPr>
          <w:rFonts w:hint="default" w:ascii="Times New Roman" w:hAnsi="Times New Roman" w:eastAsia="仿宋_GB2312" w:cs="Times New Roman"/>
          <w:sz w:val="32"/>
          <w:szCs w:val="32"/>
          <w:lang w:val="en-US" w:eastAsia="zh-CN"/>
        </w:rPr>
        <w:t>75</w:t>
      </w:r>
      <w:r>
        <w:rPr>
          <w:rFonts w:hint="eastAsia" w:ascii="仿宋_GB2312" w:hAnsi="仿宋_GB2312" w:eastAsia="仿宋_GB2312" w:cs="仿宋_GB2312"/>
          <w:sz w:val="32"/>
          <w:szCs w:val="32"/>
          <w:lang w:val="en-US" w:eastAsia="zh-CN"/>
        </w:rPr>
        <w:t>人。</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年，人民调解员参与排查化解辖区矛盾纠纷</w:t>
      </w:r>
      <w:r>
        <w:rPr>
          <w:rFonts w:hint="default" w:ascii="Times New Roman" w:hAnsi="Times New Roman" w:eastAsia="仿宋_GB2312" w:cs="Times New Roman"/>
          <w:sz w:val="32"/>
          <w:szCs w:val="32"/>
          <w:lang w:val="en-US" w:eastAsia="zh-CN"/>
        </w:rPr>
        <w:t>67</w:t>
      </w:r>
      <w:r>
        <w:rPr>
          <w:rFonts w:hint="eastAsia" w:ascii="仿宋_GB2312" w:hAnsi="仿宋_GB2312" w:eastAsia="仿宋_GB2312" w:cs="仿宋_GB2312"/>
          <w:sz w:val="32"/>
          <w:szCs w:val="32"/>
          <w:lang w:val="en-US" w:eastAsia="zh-CN"/>
        </w:rPr>
        <w:t>件，疑难复杂纠纷</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b/>
          <w:bCs/>
          <w:sz w:val="32"/>
          <w:szCs w:val="32"/>
          <w:lang w:val="en-US" w:eastAsia="zh-CN"/>
        </w:rPr>
        <w:t>三是依托“法律顾问团”，打造“法律明白人”“学法用法示范户”普法队伍。</w:t>
      </w:r>
      <w:r>
        <w:rPr>
          <w:rFonts w:hint="eastAsia" w:ascii="仿宋_GB2312" w:hAnsi="仿宋_GB2312" w:eastAsia="仿宋_GB2312" w:cs="仿宋_GB2312"/>
          <w:sz w:val="32"/>
          <w:szCs w:val="32"/>
          <w:lang w:val="en-US" w:eastAsia="zh-CN"/>
        </w:rPr>
        <w:t>皇宫</w:t>
      </w:r>
      <w:r>
        <w:rPr>
          <w:rFonts w:hint="eastAsia" w:ascii="仿宋_GB2312" w:hAnsi="仿宋_GB2312" w:eastAsia="仿宋_GB2312" w:cs="仿宋_GB2312"/>
          <w:sz w:val="32"/>
          <w:szCs w:val="32"/>
          <w:shd w:val="clear" w:fill="FFFFFF"/>
          <w:lang w:val="en-US" w:eastAsia="zh-CN"/>
        </w:rPr>
        <w:t>镇包</w:t>
      </w:r>
      <w:r>
        <w:rPr>
          <w:rFonts w:hint="eastAsia" w:ascii="仿宋_GB2312" w:hAnsi="仿宋_GB2312" w:eastAsia="仿宋_GB2312" w:cs="仿宋_GB2312"/>
          <w:sz w:val="32"/>
          <w:szCs w:val="32"/>
          <w:lang w:val="en-US" w:eastAsia="zh-CN"/>
        </w:rPr>
        <w:t>联律师、检察官、法官等“法律顾问团”成员本着“身边人影响身边人，身边人带动身边人”的原则，积极培养“法律明白人”“学法用法示范户”普法队伍，</w:t>
      </w:r>
      <w:r>
        <w:rPr>
          <w:rFonts w:hint="eastAsia" w:ascii="仿宋" w:hAnsi="仿宋" w:eastAsia="仿宋" w:cs="仿宋"/>
          <w:sz w:val="32"/>
          <w:szCs w:val="32"/>
          <w:lang w:val="en-US" w:eastAsia="zh-CN"/>
        </w:rPr>
        <w:t>进一步发挥他们在深化法治宣传教育、化解社会矛盾、推进村队工作中的作用</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年度皇宫</w:t>
      </w:r>
      <w:r>
        <w:rPr>
          <w:rFonts w:hint="eastAsia" w:ascii="仿宋_GB2312" w:hAnsi="仿宋_GB2312" w:eastAsia="仿宋_GB2312" w:cs="仿宋_GB2312"/>
          <w:sz w:val="32"/>
          <w:szCs w:val="32"/>
          <w:shd w:val="clear" w:fill="FFFFFF"/>
          <w:lang w:val="en-US" w:eastAsia="zh-CN"/>
        </w:rPr>
        <w:t>镇</w:t>
      </w:r>
      <w:r>
        <w:rPr>
          <w:rFonts w:hint="eastAsia" w:ascii="仿宋_GB2312" w:hAnsi="仿宋_GB2312" w:eastAsia="仿宋_GB2312" w:cs="仿宋_GB2312"/>
          <w:sz w:val="32"/>
          <w:szCs w:val="32"/>
          <w:lang w:val="en-US" w:eastAsia="zh-CN"/>
        </w:rPr>
        <w:t>“法律明白人”“学法用法示范户”共参与线上线下培训</w:t>
      </w:r>
      <w:r>
        <w:rPr>
          <w:rFonts w:hint="default" w:ascii="Times New Roman" w:hAnsi="Times New Roman" w:eastAsia="仿宋_GB2312" w:cs="Times New Roman"/>
          <w:sz w:val="32"/>
          <w:szCs w:val="32"/>
          <w:lang w:val="en-US" w:eastAsia="zh-CN"/>
        </w:rPr>
        <w:t>96</w:t>
      </w:r>
      <w:r>
        <w:rPr>
          <w:rFonts w:hint="eastAsia" w:ascii="仿宋_GB2312" w:hAnsi="仿宋_GB2312" w:eastAsia="仿宋_GB2312" w:cs="仿宋_GB2312"/>
          <w:sz w:val="32"/>
          <w:szCs w:val="32"/>
          <w:lang w:val="en-US" w:eastAsia="zh-CN"/>
        </w:rPr>
        <w:t>课时，在年度考核中</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人被评为“优秀”等次，为法治建设工作的稳步推进打下了坚实的群众基础。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auto"/>
          <w:spacing w:val="0"/>
          <w:kern w:val="0"/>
          <w:sz w:val="32"/>
          <w:szCs w:val="32"/>
          <w:lang w:val="en-US" w:eastAsia="zh-CN" w:bidi="ar"/>
        </w:rPr>
        <w:t>（五）健全依法行政制度，提升政府治理效能。</w:t>
      </w:r>
      <w:r>
        <w:rPr>
          <w:rFonts w:hint="eastAsia" w:ascii="仿宋_GB2312" w:hAnsi="仿宋_GB2312" w:eastAsia="仿宋_GB2312" w:cs="仿宋_GB2312"/>
          <w:sz w:val="32"/>
          <w:szCs w:val="32"/>
          <w:lang w:val="en-US" w:eastAsia="zh-CN"/>
        </w:rPr>
        <w:t>加强行政规范性文件管理，开展行政规范性文件合法性审核；坚持科学民主依法决策，重大行政决策严格履行合法性审查和集体讨论决定等程序；自觉接受人大对镇政府工作的监督，积极转变工作作风，提高办事效率，及时解决群众当前呼声、期盼较高的热点、难点问题，严格执行向镇人民代表大会做政府工作报告的要求。强化社会监督，舆论监督的作用，依托</w:t>
      </w:r>
      <w:r>
        <w:rPr>
          <w:rFonts w:hint="default" w:ascii="Times New Roman" w:hAnsi="Times New Roman" w:eastAsia="仿宋_GB2312" w:cs="Times New Roman"/>
          <w:sz w:val="32"/>
          <w:szCs w:val="32"/>
          <w:lang w:val="en-US" w:eastAsia="zh-CN"/>
        </w:rPr>
        <w:t>12345</w:t>
      </w:r>
      <w:r>
        <w:rPr>
          <w:rFonts w:hint="eastAsia" w:ascii="仿宋_GB2312" w:hAnsi="仿宋_GB2312" w:eastAsia="仿宋_GB2312" w:cs="仿宋_GB2312"/>
          <w:sz w:val="32"/>
          <w:szCs w:val="32"/>
          <w:lang w:val="en-US" w:eastAsia="zh-CN"/>
        </w:rPr>
        <w:t>平台及时受理、分类梳理、认真调处、妥善解决群众关心的重点、难点和热点问题，积极回应社会关切。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二、主要做法和存在问题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主要做法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楷体_GB2312" w:hAnsi="楷体_GB2312" w:eastAsia="楷体_GB2312" w:cs="楷体_GB2312"/>
          <w:b/>
          <w:bCs/>
          <w:sz w:val="32"/>
          <w:szCs w:val="32"/>
          <w:lang w:val="en-US" w:eastAsia="zh-CN"/>
        </w:rPr>
        <w:t>坚持村务、政务公开。</w:t>
      </w:r>
      <w:r>
        <w:rPr>
          <w:rFonts w:hint="eastAsia" w:ascii="仿宋_GB2312" w:hAnsi="仿宋_GB2312" w:eastAsia="仿宋_GB2312" w:cs="仿宋_GB2312"/>
          <w:sz w:val="32"/>
          <w:szCs w:val="32"/>
          <w:lang w:val="en-US" w:eastAsia="zh-CN"/>
        </w:rPr>
        <w:t>完善村级财务公开等制度，及时真实地公开相关信息，确保政务、村级财务收支状况晒在阳光下，充分保障村民的知情权，参与权。继续细化完善“四议两公开”、政务公开制度。严格执行</w:t>
      </w:r>
      <w:r>
        <w:rPr>
          <w:rFonts w:hint="eastAsia" w:ascii="仿宋_GB2312" w:hAnsi="仿宋_GB2312" w:eastAsia="仿宋_GB2312" w:cs="仿宋_GB2312"/>
          <w:sz w:val="32"/>
          <w:szCs w:val="32"/>
          <w:shd w:val="clear" w:fill="FFFFFF"/>
          <w:lang w:val="en-US" w:eastAsia="zh-CN"/>
        </w:rPr>
        <w:t>中央八项规定</w:t>
      </w:r>
      <w:r>
        <w:rPr>
          <w:rFonts w:hint="eastAsia" w:ascii="仿宋_GB2312" w:hAnsi="仿宋_GB2312" w:eastAsia="仿宋_GB2312" w:cs="仿宋_GB2312"/>
          <w:sz w:val="32"/>
          <w:szCs w:val="32"/>
          <w:lang w:val="en-US" w:eastAsia="zh-CN"/>
        </w:rPr>
        <w:t>，严格控制“三公经费”，严格落实廉政制度，严格执行政府采购程序，严格各项经费支出审批程序。</w:t>
      </w:r>
      <w:r>
        <w:rPr>
          <w:rFonts w:hint="eastAsia" w:ascii="楷体_GB2312" w:hAnsi="楷体_GB2312" w:eastAsia="楷体_GB2312" w:cs="楷体_GB2312"/>
          <w:b/>
          <w:bCs/>
          <w:sz w:val="32"/>
          <w:szCs w:val="32"/>
          <w:lang w:val="en-US" w:eastAsia="zh-CN"/>
        </w:rPr>
        <w:t>二是积极推进法治宣传活动深入基层，服务群众。</w:t>
      </w:r>
      <w:r>
        <w:rPr>
          <w:rFonts w:hint="eastAsia" w:ascii="仿宋_GB2312" w:hAnsi="仿宋_GB2312" w:eastAsia="仿宋_GB2312" w:cs="仿宋_GB2312"/>
          <w:sz w:val="32"/>
          <w:szCs w:val="32"/>
          <w:lang w:val="en-US" w:eastAsia="zh-CN"/>
        </w:rPr>
        <w:t>首先围绕人民群众关心关注的热点问题，积极开展法治宣传活动，深入与社会保障、安全生产、医疗卫生、食品安全和社会救助等相关的法律法规，把法律送到田间地头和千家万户。其次大力开展民主法治村建设活动，“法律明白人”充分发挥自身人</w:t>
      </w:r>
      <w:r>
        <w:rPr>
          <w:rFonts w:hint="eastAsia" w:ascii="仿宋_GB2312" w:hAnsi="仿宋_GB2312" w:eastAsia="仿宋_GB2312" w:cs="仿宋_GB2312"/>
          <w:sz w:val="32"/>
          <w:szCs w:val="32"/>
          <w:shd w:val="clear" w:fill="FFFFFF"/>
          <w:lang w:val="en-US" w:eastAsia="zh-CN"/>
        </w:rPr>
        <w:t>熟</w:t>
      </w:r>
      <w:r>
        <w:rPr>
          <w:rFonts w:hint="eastAsia" w:ascii="仿宋_GB2312" w:hAnsi="仿宋_GB2312" w:eastAsia="仿宋_GB2312" w:cs="仿宋_GB2312"/>
          <w:sz w:val="32"/>
          <w:szCs w:val="32"/>
          <w:lang w:val="en-US" w:eastAsia="zh-CN"/>
        </w:rPr>
        <w:t>、地</w:t>
      </w:r>
      <w:bookmarkStart w:id="1" w:name="_GoBack"/>
      <w:r>
        <w:rPr>
          <w:rFonts w:hint="eastAsia" w:ascii="仿宋_GB2312" w:hAnsi="仿宋_GB2312" w:eastAsia="仿宋_GB2312" w:cs="仿宋_GB2312"/>
          <w:sz w:val="32"/>
          <w:szCs w:val="32"/>
          <w:shd w:val="clear" w:fill="FFFFFF"/>
          <w:lang w:val="en-US" w:eastAsia="zh-CN"/>
        </w:rPr>
        <w:t>熟</w:t>
      </w:r>
      <w:bookmarkEnd w:id="1"/>
      <w:r>
        <w:rPr>
          <w:rFonts w:hint="eastAsia" w:ascii="仿宋_GB2312" w:hAnsi="仿宋_GB2312" w:eastAsia="仿宋_GB2312" w:cs="仿宋_GB2312"/>
          <w:sz w:val="32"/>
          <w:szCs w:val="32"/>
          <w:lang w:val="en-US" w:eastAsia="zh-CN"/>
        </w:rPr>
        <w:t>、事熟的优势，不断提升群众依法维护合法权益的意识和能力，促进广大农民群众法律意识的提高。</w:t>
      </w:r>
      <w:r>
        <w:rPr>
          <w:rFonts w:hint="eastAsia" w:ascii="楷体_GB2312" w:hAnsi="楷体_GB2312" w:eastAsia="楷体_GB2312" w:cs="楷体_GB2312"/>
          <w:b/>
          <w:bCs/>
          <w:sz w:val="32"/>
          <w:szCs w:val="32"/>
          <w:lang w:val="en-US" w:eastAsia="zh-CN"/>
        </w:rPr>
        <w:t>三是以节日为契机，开展形式多样的系列法治活动。</w:t>
      </w:r>
      <w:r>
        <w:rPr>
          <w:rFonts w:hint="eastAsia" w:ascii="仿宋_GB2312" w:hAnsi="仿宋_GB2312" w:eastAsia="仿宋_GB2312" w:cs="仿宋_GB2312"/>
          <w:sz w:val="32"/>
          <w:szCs w:val="32"/>
          <w:lang w:val="en-US" w:eastAsia="zh-CN"/>
        </w:rPr>
        <w:t>结合利用自治区宪法宣传月、民法典宣传月等重要普法节点，开展形式多样的普法宣传活动，联合镇各普法责任单位多次开展“周末便民法治大集市”活动，方便群众就自身需求进行法律咨询“点单”，享受送到家门口的法律“大餐”。</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321" w:firstLineChars="100"/>
        <w:jc w:val="both"/>
        <w:textAlignment w:val="auto"/>
        <w:outlineLvl w:val="9"/>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bCs/>
          <w:color w:val="auto"/>
          <w:sz w:val="32"/>
          <w:szCs w:val="32"/>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仿宋_GB2312" w:eastAsia="仿宋_GB2312" w:cs="仿宋_GB2312"/>
          <w:b w:val="0"/>
          <w:bCs w:val="0"/>
          <w:i w:val="0"/>
          <w:caps w:val="0"/>
          <w:color w:val="auto"/>
          <w:spacing w:val="0"/>
          <w:kern w:val="0"/>
          <w:sz w:val="32"/>
          <w:szCs w:val="32"/>
          <w:lang w:val="en-US" w:eastAsia="zh-CN" w:bidi="ar"/>
        </w:rPr>
      </w:pPr>
      <w:r>
        <w:rPr>
          <w:rFonts w:hint="eastAsia" w:ascii="楷体_GB2312" w:hAnsi="楷体_GB2312" w:eastAsia="楷体_GB2312" w:cs="楷体_GB2312"/>
          <w:b/>
          <w:bCs/>
          <w:sz w:val="32"/>
          <w:szCs w:val="32"/>
          <w:lang w:val="en-US" w:eastAsia="zh-CN"/>
        </w:rPr>
        <w:t>一是全镇领导干部法治意识有待加强，法治能力有待提升。</w:t>
      </w:r>
      <w:r>
        <w:rPr>
          <w:rFonts w:hint="eastAsia" w:ascii="仿宋_GB2312" w:eastAsia="仿宋_GB2312" w:cs="仿宋_GB2312"/>
          <w:b w:val="0"/>
          <w:bCs w:val="0"/>
          <w:i w:val="0"/>
          <w:caps w:val="0"/>
          <w:color w:val="auto"/>
          <w:spacing w:val="0"/>
          <w:kern w:val="0"/>
          <w:sz w:val="32"/>
          <w:szCs w:val="32"/>
          <w:lang w:val="en-US" w:eastAsia="zh-CN" w:bidi="ar"/>
        </w:rPr>
        <w:t>依法办事意识不强，依法决策水平不高。对工作中要求学习的法律法规、理论知识进行了深入学习，但对于临时性工作中出现的问题运用法治思维解决的能力有待提高。</w:t>
      </w:r>
      <w:r>
        <w:rPr>
          <w:rFonts w:hint="eastAsia" w:ascii="楷体_GB2312" w:hAnsi="楷体_GB2312" w:eastAsia="楷体_GB2312" w:cs="楷体_GB2312"/>
          <w:b/>
          <w:bCs/>
          <w:sz w:val="32"/>
          <w:szCs w:val="32"/>
          <w:lang w:val="en-US" w:eastAsia="zh-CN"/>
        </w:rPr>
        <w:t>二是对重大行政决策程序履行不够到位。</w:t>
      </w:r>
      <w:r>
        <w:rPr>
          <w:rFonts w:hint="eastAsia" w:ascii="仿宋_GB2312" w:eastAsia="仿宋_GB2312" w:cs="仿宋_GB2312"/>
          <w:b w:val="0"/>
          <w:bCs w:val="0"/>
          <w:i w:val="0"/>
          <w:caps w:val="0"/>
          <w:color w:val="auto"/>
          <w:spacing w:val="0"/>
          <w:kern w:val="0"/>
          <w:sz w:val="32"/>
          <w:szCs w:val="32"/>
          <w:lang w:val="en-US" w:eastAsia="zh-CN" w:bidi="ar"/>
        </w:rPr>
        <w:t>对涉及辖区经济和社会发展方面重要的总体规划、重大公共建设项目及涉及重大公共利益或者社会公众切身利益的其他事项没有严格遵守法定程序。</w:t>
      </w:r>
      <w:r>
        <w:rPr>
          <w:rFonts w:hint="eastAsia" w:ascii="楷体_GB2312" w:hAnsi="楷体_GB2312" w:eastAsia="楷体_GB2312" w:cs="楷体_GB2312"/>
          <w:b/>
          <w:bCs/>
          <w:sz w:val="32"/>
          <w:szCs w:val="32"/>
          <w:lang w:val="en-US" w:eastAsia="zh-CN"/>
        </w:rPr>
        <w:t>三是普法阵地作用发挥相对薄弱。</w:t>
      </w:r>
      <w:r>
        <w:rPr>
          <w:rFonts w:hint="eastAsia" w:ascii="仿宋_GB2312" w:eastAsia="仿宋_GB2312" w:cs="仿宋_GB2312"/>
          <w:b w:val="0"/>
          <w:bCs w:val="0"/>
          <w:i w:val="0"/>
          <w:caps w:val="0"/>
          <w:color w:val="auto"/>
          <w:spacing w:val="0"/>
          <w:kern w:val="0"/>
          <w:sz w:val="32"/>
          <w:szCs w:val="32"/>
          <w:lang w:val="en-US" w:eastAsia="zh-CN" w:bidi="ar"/>
        </w:rPr>
        <w:t>虽然镇村两级建设了一批法治阵地，但从“有形”到“有效”</w:t>
      </w:r>
      <w:r>
        <w:rPr>
          <w:rFonts w:hint="eastAsia" w:ascii="仿宋_GB2312" w:eastAsia="仿宋_GB2312" w:cs="仿宋_GB2312"/>
          <w:b w:val="0"/>
          <w:bCs w:val="0"/>
          <w:i w:val="0"/>
          <w:caps w:val="0"/>
          <w:color w:val="auto"/>
          <w:spacing w:val="0"/>
          <w:kern w:val="0"/>
          <w:sz w:val="32"/>
          <w:szCs w:val="32"/>
          <w:shd w:val="clear" w:fill="FFFFFF"/>
          <w:lang w:val="en-US" w:eastAsia="zh-CN" w:bidi="ar"/>
        </w:rPr>
        <w:t>亟须加强</w:t>
      </w:r>
      <w:r>
        <w:rPr>
          <w:rFonts w:hint="eastAsia" w:ascii="仿宋_GB2312" w:eastAsia="仿宋_GB2312" w:cs="仿宋_GB2312"/>
          <w:b w:val="0"/>
          <w:bCs w:val="0"/>
          <w:i w:val="0"/>
          <w:caps w:val="0"/>
          <w:color w:val="auto"/>
          <w:spacing w:val="0"/>
          <w:kern w:val="0"/>
          <w:sz w:val="32"/>
          <w:szCs w:val="32"/>
          <w:lang w:val="en-US" w:eastAsia="zh-CN" w:bidi="ar"/>
        </w:rPr>
        <w:t>。日常普法宣传多依靠村法律顾问、基层法律服务工作者等，受限于时间安排以及人员素质，导致法治文化阵地效果欠佳，基层法治氛围不够浓厚。</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一是进一步提高政治站位，强化组织领导。</w:t>
      </w:r>
      <w:r>
        <w:rPr>
          <w:rFonts w:hint="eastAsia" w:ascii="仿宋_GB2312" w:hAnsi="仿宋_GB2312" w:eastAsia="仿宋_GB2312" w:cs="仿宋_GB2312"/>
          <w:kern w:val="2"/>
          <w:sz w:val="32"/>
          <w:szCs w:val="32"/>
          <w:lang w:val="en-US" w:eastAsia="zh-CN" w:bidi="ar-SA"/>
        </w:rPr>
        <w:t>深入学习贯彻习近平法治思想，全面落实中央、自治区关于法治政府建设工作会议精神，进一步增强推动法治建设的思想自觉、政治自觉和行动自觉，牢牢把握法治建设正确方向，认真做好谋划部署，健全体制机制，依法履行政府职能、优化法治化营商环境。</w:t>
      </w:r>
      <w:r>
        <w:rPr>
          <w:rFonts w:hint="eastAsia" w:ascii="仿宋_GB2312" w:hAnsi="仿宋_GB2312" w:eastAsia="仿宋_GB2312" w:cs="仿宋_GB2312"/>
          <w:b/>
          <w:bCs/>
          <w:kern w:val="2"/>
          <w:sz w:val="32"/>
          <w:szCs w:val="32"/>
          <w:lang w:val="en-US" w:eastAsia="zh-CN" w:bidi="ar-SA"/>
        </w:rPr>
        <w:t>二是进一步加强普法宣传，增强法治意识。</w:t>
      </w:r>
      <w:r>
        <w:rPr>
          <w:rFonts w:hint="eastAsia" w:ascii="仿宋_GB2312" w:hAnsi="仿宋_GB2312" w:eastAsia="仿宋_GB2312" w:cs="仿宋_GB2312"/>
          <w:kern w:val="2"/>
          <w:sz w:val="32"/>
          <w:szCs w:val="32"/>
          <w:lang w:val="en-US" w:eastAsia="zh-CN" w:bidi="ar-SA"/>
        </w:rPr>
        <w:t>认真落实年度普法依法治理工作要点，全面推进“八五”普法工作。进一步提升普法宣传力度，持续做好线上和线下宣传，注重运用新型媒体，充分发挥微信、互联网等新型媒体的普法功能。</w:t>
      </w:r>
      <w:r>
        <w:rPr>
          <w:rFonts w:hint="eastAsia" w:ascii="仿宋_GB2312" w:hAnsi="仿宋_GB2312" w:eastAsia="仿宋_GB2312" w:cs="仿宋_GB2312"/>
          <w:b/>
          <w:bCs/>
          <w:kern w:val="2"/>
          <w:sz w:val="32"/>
          <w:szCs w:val="32"/>
          <w:lang w:val="en-US" w:eastAsia="zh-CN" w:bidi="ar-SA"/>
        </w:rPr>
        <w:t>三是进一步强化依法行政，加强执法监督。</w:t>
      </w:r>
      <w:r>
        <w:rPr>
          <w:rFonts w:hint="eastAsia" w:ascii="仿宋_GB2312" w:hAnsi="仿宋_GB2312" w:eastAsia="仿宋_GB2312" w:cs="仿宋_GB2312"/>
          <w:kern w:val="2"/>
          <w:sz w:val="32"/>
          <w:szCs w:val="32"/>
          <w:lang w:val="en-US" w:eastAsia="zh-CN" w:bidi="ar-SA"/>
        </w:rPr>
        <w:t>牢固树立依法决策意识，严格依照法定权限和程序作出决策，确保决策内容符合法律法规规定。严格落实行政执法公示、执法全过程记录、重大执法决定法制审核制度，确保行政行为的合法性、正当性、合理性。</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不断强化领导干部学法用法，切实提升运用法治思维和法治方式解决实际问题的能力，扎实做好法治政府建设各项工作。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通过开展法律知识测试、法治讲座等形式多样、丰富多彩的法治宣传教育活动，强化重点人员学法用法，不断提升普法宣传的效果。同时，开展针对性普法，坚持“谁执法、谁普法”的原则，积极开展面向社会的宣传教育，围绕镇中心工作，针对辖区难点问题，组织开展重点领域、重点人群专项法治宣传和法律服务，不断增强广大人民群众的法律意识和法治观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进一步加强对我镇执法人员的专业培训，不断提升执法人员的履职能力和执法办案水平。</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left"/>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kern w:val="2"/>
          <w:sz w:val="32"/>
          <w:szCs w:val="32"/>
          <w:lang w:val="en-US" w:eastAsia="zh-CN" w:bidi="ar-SA"/>
        </w:rPr>
        <w:t>乌苏市皇宫镇人民政府</w:t>
      </w:r>
    </w:p>
    <w:p>
      <w:pPr>
        <w:pStyle w:val="10"/>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2024</w:t>
      </w:r>
      <w:r>
        <w:rPr>
          <w:rFonts w:hint="eastAsia" w:ascii="仿宋_GB2312" w:hAnsi="仿宋_GB2312" w:eastAsia="仿宋_GB2312" w:cs="仿宋_GB2312"/>
          <w:b w:val="0"/>
          <w:bCs w:val="0"/>
          <w:kern w:val="2"/>
          <w:sz w:val="32"/>
          <w:szCs w:val="32"/>
          <w:lang w:val="en-US" w:eastAsia="zh-CN" w:bidi="ar-SA"/>
        </w:rPr>
        <w:t>年</w:t>
      </w:r>
      <w:r>
        <w:rPr>
          <w:rFonts w:hint="default" w:ascii="Times New Roman" w:hAnsi="Times New Roman" w:eastAsia="仿宋_GB2312" w:cs="Times New Roman"/>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月</w:t>
      </w:r>
      <w:r>
        <w:rPr>
          <w:rFonts w:hint="default" w:ascii="Times New Roman" w:hAnsi="Times New Roman" w:eastAsia="仿宋_GB2312" w:cs="Times New Roman"/>
          <w:b w:val="0"/>
          <w:bCs w:val="0"/>
          <w:kern w:val="2"/>
          <w:sz w:val="32"/>
          <w:szCs w:val="32"/>
          <w:lang w:val="en-US" w:eastAsia="zh-CN" w:bidi="ar-SA"/>
        </w:rPr>
        <w:t>7</w:t>
      </w:r>
      <w:r>
        <w:rPr>
          <w:rFonts w:hint="eastAsia" w:ascii="仿宋_GB2312" w:hAnsi="仿宋_GB2312" w:eastAsia="仿宋_GB2312" w:cs="仿宋_GB2312"/>
          <w:b w:val="0"/>
          <w:bCs w:val="0"/>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560070</wp:posOffset>
                </wp:positionH>
                <wp:positionV relativeFrom="paragraph">
                  <wp:posOffset>7696835</wp:posOffset>
                </wp:positionV>
                <wp:extent cx="991870" cy="400050"/>
                <wp:effectExtent l="6350" t="6350" r="17780" b="12700"/>
                <wp:wrapNone/>
                <wp:docPr id="127" name="矩形 127"/>
                <wp:cNvGraphicFramePr/>
                <a:graphic xmlns:a="http://schemas.openxmlformats.org/drawingml/2006/main">
                  <a:graphicData uri="http://schemas.microsoft.com/office/word/2010/wordprocessingShape">
                    <wps:wsp>
                      <wps:cNvSpPr/>
                      <wps:spPr>
                        <a:xfrm>
                          <a:off x="1563370" y="9486900"/>
                          <a:ext cx="99187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ascii="楷体_GB2312" w:hAnsi="楷体_GB2312" w:eastAsia="楷体_GB2312" w:cs="楷体_GB2312"/>
                                <w:sz w:val="32"/>
                                <w:szCs w:val="32"/>
                                <w:lang w:val="en-US" w:eastAsia="zh-CN"/>
                              </w:rPr>
                              <w:t>归档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1pt;margin-top:606.05pt;height:31.5pt;width:78.1pt;z-index:251663360;v-text-anchor:middle;mso-width-relative:page;mso-height-relative:page;" fillcolor="#5B9BD5 [3204]" filled="t" stroked="t" coordsize="21600,21600" o:gfxdata="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eF/xL90AAAAMAQAADwAAAAAAAAABACAAAAAiAAAAZHJzL2Rvd25yZXYueG1sUEsBAhQAFAAA&#10;AAgAh07iQFKJg8iVAgAALwUAAA4AAAAAAAAAAQAgAAAALAEAAGRycy9lMm9Eb2MueG1sUEsFBgAA&#10;AAAGAAYAWQEAADMGAAAAAA==&#10;">
                <v:fill on="t" focussize="0,0"/>
                <v:stroke weight="1pt" color="#41719C [3204]" miterlimit="8" joinstyle="miter"/>
                <v:imagedata o:title=""/>
                <o:lock v:ext="edit" aspectratio="f"/>
                <v:textbox>
                  <w:txbxContent>
                    <w:p>
                      <w:pPr>
                        <w:jc w:val="center"/>
                        <w:rPr>
                          <w:rFonts w:hint="default"/>
                          <w:lang w:val="en-US" w:eastAsia="zh-CN"/>
                        </w:rPr>
                      </w:pPr>
                      <w:r>
                        <w:rPr>
                          <w:rFonts w:hint="eastAsia" w:ascii="楷体_GB2312" w:hAnsi="楷体_GB2312" w:eastAsia="楷体_GB2312" w:cs="楷体_GB2312"/>
                          <w:sz w:val="32"/>
                          <w:szCs w:val="32"/>
                          <w:lang w:val="en-US" w:eastAsia="zh-CN"/>
                        </w:rPr>
                        <w:t>归档</w:t>
                      </w:r>
                    </w:p>
                  </w:txbxContent>
                </v:textbox>
              </v:rect>
            </w:pict>
          </mc:Fallback>
        </mc:AlternateContent>
      </w: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1056005</wp:posOffset>
                </wp:positionH>
                <wp:positionV relativeFrom="paragraph">
                  <wp:posOffset>7320915</wp:posOffset>
                </wp:positionV>
                <wp:extent cx="0" cy="375920"/>
                <wp:effectExtent l="48895" t="0" r="52705" b="5080"/>
                <wp:wrapNone/>
                <wp:docPr id="143" name="直接箭头连接符 143"/>
                <wp:cNvGraphicFramePr/>
                <a:graphic xmlns:a="http://schemas.openxmlformats.org/drawingml/2006/main">
                  <a:graphicData uri="http://schemas.microsoft.com/office/word/2010/wordprocessingShape">
                    <wps:wsp>
                      <wps:cNvCnPr>
                        <a:endCxn id="127" idx="0"/>
                      </wps:cNvCnPr>
                      <wps:spPr>
                        <a:xfrm>
                          <a:off x="0" y="0"/>
                          <a:ext cx="0" cy="375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3.15pt;margin-top:576.45pt;height:29.6pt;width:0pt;z-index:251662336;mso-width-relative:page;mso-height-relative:page;" filled="f" stroked="t" coordsize="21600,21600" o:gfxdata="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YenhTWAAAADQEA&#10;AA8AAAAAAAAAAQAgAAAAIgAAAGRycy9kb3ducmV2LnhtbFBLAQIUABQAAAAIAIdO4kA7qkpzHAIA&#10;AAoEAAAOAAAAAAAAAAEAIAAAACUBAABkcnMvZTJvRG9jLnhtbFBLBQYAAAAABgAGAFkBAACzBQAA&#10;AAA=&#10;">
                <v:fill on="f" focussize="0,0"/>
                <v:stroke weight="0.5pt" color="#5B9BD5 [3204]" miterlimit="8" joinstyle="miter" endarrow="open"/>
                <v:imagedata o:title=""/>
                <o:lock v:ext="edit" aspectratio="f"/>
              </v:shape>
            </w:pict>
          </mc:Fallback>
        </mc:AlternateContent>
      </w:r>
    </w:p>
    <w:sectPr>
      <w:headerReference r:id="rId5" w:type="default"/>
      <w:footerReference r:id="rId6" w:type="default"/>
      <w:pgSz w:w="11906" w:h="16838"/>
      <w:pgMar w:top="2098" w:right="1587" w:bottom="2098"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Times New Roman" w:hAnsi="Times New Roman"/>
                              <w:sz w:val="24"/>
                              <w:szCs w:val="24"/>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7"/>
                      <w:rPr>
                        <w:rFonts w:ascii="Times New Roman" w:hAnsi="Times New Roman"/>
                        <w:sz w:val="24"/>
                        <w:szCs w:val="24"/>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0FD53B"/>
    <w:multiLevelType w:val="singleLevel"/>
    <w:tmpl w:val="D10FD5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34876858"/>
    <w:rsid w:val="000A22A4"/>
    <w:rsid w:val="00156EC5"/>
    <w:rsid w:val="002767B8"/>
    <w:rsid w:val="003104D9"/>
    <w:rsid w:val="009E3146"/>
    <w:rsid w:val="00A36D50"/>
    <w:rsid w:val="00C1208C"/>
    <w:rsid w:val="00C81AF4"/>
    <w:rsid w:val="00D20677"/>
    <w:rsid w:val="00D57412"/>
    <w:rsid w:val="00E05237"/>
    <w:rsid w:val="00F71C67"/>
    <w:rsid w:val="00FF51BC"/>
    <w:rsid w:val="018578C0"/>
    <w:rsid w:val="01B04182"/>
    <w:rsid w:val="03CE4394"/>
    <w:rsid w:val="05230E60"/>
    <w:rsid w:val="060A6CAE"/>
    <w:rsid w:val="06204FB6"/>
    <w:rsid w:val="08E1269F"/>
    <w:rsid w:val="0B5D0D14"/>
    <w:rsid w:val="0D42527E"/>
    <w:rsid w:val="0EC96AA1"/>
    <w:rsid w:val="11371A53"/>
    <w:rsid w:val="11EC5F7D"/>
    <w:rsid w:val="127001C5"/>
    <w:rsid w:val="13380144"/>
    <w:rsid w:val="13CE4823"/>
    <w:rsid w:val="16962DFB"/>
    <w:rsid w:val="1BBE2A2E"/>
    <w:rsid w:val="1C1D20A0"/>
    <w:rsid w:val="1C590473"/>
    <w:rsid w:val="1EAE3B87"/>
    <w:rsid w:val="1FE538EE"/>
    <w:rsid w:val="208F0A9D"/>
    <w:rsid w:val="21661198"/>
    <w:rsid w:val="21A86CD7"/>
    <w:rsid w:val="239D4651"/>
    <w:rsid w:val="23F55B60"/>
    <w:rsid w:val="25285F53"/>
    <w:rsid w:val="268411B2"/>
    <w:rsid w:val="26DA3479"/>
    <w:rsid w:val="2743347B"/>
    <w:rsid w:val="27CB6919"/>
    <w:rsid w:val="28E47F05"/>
    <w:rsid w:val="2930228F"/>
    <w:rsid w:val="29D378CC"/>
    <w:rsid w:val="2AAE7E1F"/>
    <w:rsid w:val="2AE81100"/>
    <w:rsid w:val="2CC606C2"/>
    <w:rsid w:val="2DB001E9"/>
    <w:rsid w:val="2E7134E1"/>
    <w:rsid w:val="2E831D34"/>
    <w:rsid w:val="2F777A0C"/>
    <w:rsid w:val="30016FF8"/>
    <w:rsid w:val="30847A29"/>
    <w:rsid w:val="3132235A"/>
    <w:rsid w:val="31BB31E4"/>
    <w:rsid w:val="34876858"/>
    <w:rsid w:val="39D11CC5"/>
    <w:rsid w:val="3D65165A"/>
    <w:rsid w:val="3DE11BB7"/>
    <w:rsid w:val="3E63046E"/>
    <w:rsid w:val="3F672BD0"/>
    <w:rsid w:val="424C3EA9"/>
    <w:rsid w:val="425E6C79"/>
    <w:rsid w:val="42912AE0"/>
    <w:rsid w:val="429A624D"/>
    <w:rsid w:val="42E66E27"/>
    <w:rsid w:val="43C547F9"/>
    <w:rsid w:val="44183D73"/>
    <w:rsid w:val="448B287E"/>
    <w:rsid w:val="4B6A680E"/>
    <w:rsid w:val="4C29531C"/>
    <w:rsid w:val="4CF40783"/>
    <w:rsid w:val="4EE93C32"/>
    <w:rsid w:val="5303000E"/>
    <w:rsid w:val="5587171F"/>
    <w:rsid w:val="56E52B27"/>
    <w:rsid w:val="572C6DBA"/>
    <w:rsid w:val="57A0216B"/>
    <w:rsid w:val="58F42EE5"/>
    <w:rsid w:val="5BEF72B2"/>
    <w:rsid w:val="5BF9614D"/>
    <w:rsid w:val="5C782A33"/>
    <w:rsid w:val="5E513071"/>
    <w:rsid w:val="5FAD15B5"/>
    <w:rsid w:val="60312D6E"/>
    <w:rsid w:val="60BA70B7"/>
    <w:rsid w:val="626C7204"/>
    <w:rsid w:val="635D08D5"/>
    <w:rsid w:val="6A4B4054"/>
    <w:rsid w:val="6ADA11AD"/>
    <w:rsid w:val="6E0D2C6F"/>
    <w:rsid w:val="6E3511C3"/>
    <w:rsid w:val="6EFA352C"/>
    <w:rsid w:val="6F0F5FB2"/>
    <w:rsid w:val="6F71079E"/>
    <w:rsid w:val="70BE6D5A"/>
    <w:rsid w:val="716D0A6C"/>
    <w:rsid w:val="71D55783"/>
    <w:rsid w:val="721439C4"/>
    <w:rsid w:val="72455D0B"/>
    <w:rsid w:val="729A52A2"/>
    <w:rsid w:val="76155804"/>
    <w:rsid w:val="764A7891"/>
    <w:rsid w:val="769C078A"/>
    <w:rsid w:val="775A21C5"/>
    <w:rsid w:val="782C49A9"/>
    <w:rsid w:val="7C4F09A2"/>
    <w:rsid w:val="7E5D34F0"/>
    <w:rsid w:val="7F4F0F80"/>
    <w:rsid w:val="B5BB4E39"/>
    <w:rsid w:val="FFEF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eastAsia="en-US"/>
    </w:rPr>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Body Text Indent"/>
    <w:basedOn w:val="1"/>
    <w:next w:val="5"/>
    <w:unhideWhenUsed/>
    <w:qFormat/>
    <w:uiPriority w:val="99"/>
    <w:pPr>
      <w:widowControl/>
      <w:spacing w:line="480" w:lineRule="exact"/>
      <w:ind w:firstLine="602" w:firstLineChars="200"/>
      <w:jc w:val="left"/>
    </w:pPr>
    <w:rPr>
      <w:rFonts w:eastAsia="仿宋_GB2312"/>
      <w:b/>
      <w:bCs/>
      <w:kern w:val="0"/>
      <w:sz w:val="30"/>
      <w:szCs w:val="30"/>
    </w:r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6">
    <w:name w:val="Body Text Indent 2"/>
    <w:basedOn w:val="1"/>
    <w:next w:val="1"/>
    <w:qFormat/>
    <w:uiPriority w:val="0"/>
    <w:pPr>
      <w:spacing w:before="100" w:beforeAutospacing="1"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tabs>
        <w:tab w:val="center" w:pos="4153"/>
        <w:tab w:val="right" w:pos="8306"/>
      </w:tabs>
      <w:snapToGrid w:val="0"/>
      <w:spacing w:line="240" w:lineRule="auto"/>
      <w:jc w:val="center"/>
    </w:pPr>
    <w:rPr>
      <w:sz w:val="18"/>
      <w:szCs w:val="18"/>
    </w:rPr>
  </w:style>
  <w:style w:type="paragraph" w:styleId="9">
    <w:name w:val="Body Text First Indent"/>
    <w:basedOn w:val="2"/>
    <w:next w:val="1"/>
    <w:qFormat/>
    <w:uiPriority w:val="0"/>
    <w:pPr>
      <w:spacing w:after="120"/>
      <w:ind w:firstLine="420" w:firstLineChars="100"/>
    </w:pPr>
    <w:rPr>
      <w:sz w:val="30"/>
    </w:rPr>
  </w:style>
  <w:style w:type="paragraph" w:styleId="10">
    <w:name w:val="Body Text First Indent 2"/>
    <w:basedOn w:val="4"/>
    <w:next w:val="4"/>
    <w:unhideWhenUsed/>
    <w:qFormat/>
    <w:uiPriority w:val="99"/>
    <w:pPr>
      <w:ind w:firstLine="420"/>
    </w:pPr>
  </w:style>
  <w:style w:type="character" w:customStyle="1" w:styleId="13">
    <w:name w:val="页眉 字符"/>
    <w:basedOn w:val="12"/>
    <w:link w:val="8"/>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4439</Words>
  <Characters>4586</Characters>
  <Lines>34</Lines>
  <Paragraphs>9</Paragraphs>
  <TotalTime>6</TotalTime>
  <ScaleCrop>false</ScaleCrop>
  <LinksUpToDate>false</LinksUpToDate>
  <CharactersWithSpaces>4598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2023-08-04T01:45:00Z</dcterms:created>
  <dc:creator>Administrator</dc:creator>
  <cp:lastModifiedBy>喜文</cp:lastModifiedBy>
  <cp:lastPrinted>2024-03-08T19:13:00Z</cp:lastPrinted>
  <dcterms:modified xsi:type="dcterms:W3CDTF">2024-03-28T04:42:29Z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7251A4CE68B04299BD3E66B29D5DFEA2_13</vt:lpwstr>
  </property>
  <property fmtid="{D5CDD505-2E9C-101B-9397-08002B2CF9AE}" pid="4" name="hmcheck_markmode">
    <vt:i4>0</vt:i4>
  </property>
</Properties>
</file>