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color w:val="auto"/>
          <w:sz w:val="44"/>
          <w:szCs w:val="44"/>
        </w:rPr>
        <w:t>乌苏市</w:t>
      </w:r>
      <w:r>
        <w:rPr>
          <w:rFonts w:hint="eastAsia" w:ascii="方正小标宋简体" w:hAnsi="方正小标宋简体" w:eastAsia="方正小标宋简体" w:cs="方正小标宋简体"/>
          <w:b w:val="0"/>
          <w:bCs w:val="0"/>
          <w:color w:val="auto"/>
          <w:sz w:val="44"/>
          <w:szCs w:val="44"/>
          <w:lang w:val="en-US" w:eastAsia="zh-CN"/>
        </w:rPr>
        <w:t>夹河子乡</w:t>
      </w:r>
      <w:r>
        <w:rPr>
          <w:rFonts w:hint="eastAsia" w:ascii="方正小标宋简体" w:hAnsi="方正小标宋简体" w:eastAsia="方正小标宋简体" w:cs="方正小标宋简体"/>
          <w:b w:val="0"/>
          <w:bCs w:val="0"/>
          <w:color w:val="auto"/>
          <w:sz w:val="44"/>
          <w:szCs w:val="44"/>
        </w:rPr>
        <w:t>法治</w:t>
      </w:r>
      <w:r>
        <w:rPr>
          <w:rFonts w:hint="eastAsia" w:ascii="方正小标宋简体" w:hAnsi="方正小标宋简体" w:eastAsia="方正小标宋简体" w:cs="方正小标宋简体"/>
          <w:b w:val="0"/>
          <w:bCs w:val="0"/>
          <w:color w:val="auto"/>
          <w:sz w:val="44"/>
          <w:szCs w:val="44"/>
          <w:lang w:eastAsia="zh-CN"/>
        </w:rPr>
        <w:t>政府</w:t>
      </w:r>
      <w:r>
        <w:rPr>
          <w:rFonts w:hint="eastAsia" w:ascii="方正小标宋简体" w:hAnsi="方正小标宋简体" w:eastAsia="方正小标宋简体" w:cs="方正小标宋简体"/>
          <w:b w:val="0"/>
          <w:bCs w:val="0"/>
          <w:color w:val="auto"/>
          <w:sz w:val="44"/>
          <w:szCs w:val="44"/>
        </w:rPr>
        <w:t>建设</w:t>
      </w:r>
      <w:r>
        <w:rPr>
          <w:rFonts w:hint="eastAsia" w:ascii="方正小标宋简体" w:hAnsi="方正小标宋简体" w:eastAsia="方正小标宋简体" w:cs="方正小标宋简体"/>
          <w:b w:val="0"/>
          <w:bCs w:val="0"/>
          <w:color w:val="auto"/>
          <w:sz w:val="44"/>
          <w:szCs w:val="44"/>
          <w:lang w:val="en-US" w:eastAsia="zh-CN"/>
        </w:rPr>
        <w:t>工作总结</w:t>
      </w:r>
    </w:p>
    <w:p>
      <w:pPr>
        <w:pStyle w:val="7"/>
        <w:keepNext w:val="0"/>
        <w:keepLines w:val="0"/>
        <w:pageBreakBefore w:val="0"/>
        <w:widowControl w:val="0"/>
        <w:kinsoku/>
        <w:wordWrap/>
        <w:overflowPunct/>
        <w:topLinePunct w:val="0"/>
        <w:autoSpaceDE/>
        <w:autoSpaceDN/>
        <w:bidi w:val="0"/>
        <w:snapToGrid/>
        <w:spacing w:after="0" w:line="560" w:lineRule="exact"/>
        <w:ind w:left="0"/>
        <w:jc w:val="left"/>
        <w:outlineLvl w:val="9"/>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仿宋_GB2312" w:hAnsi="仿宋_GB2312" w:eastAsia="仿宋_GB2312" w:cs="仿宋_GB2312"/>
          <w:sz w:val="32"/>
          <w:szCs w:val="32"/>
          <w:lang w:val="en-US" w:eastAsia="zh-CN"/>
        </w:rPr>
        <w:t>夹河子乡为加强和改进政府自身建设，全面推进依法行政，我乡认真开展依法行政各项工作，进一步提高依法决策，依法管理，依法行政水平，保障和促进了我乡经济和社会持续平稳健康发展。在上级党委、政府的坚强领导下，严格按照中共中央、国务院《法治政府建设实施纲要（</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2025</w:t>
      </w:r>
      <w:r>
        <w:rPr>
          <w:rFonts w:hint="eastAsia" w:ascii="仿宋_GB2312" w:hAnsi="仿宋_GB2312" w:eastAsia="仿宋_GB2312" w:cs="仿宋_GB2312"/>
          <w:sz w:val="32"/>
          <w:szCs w:val="32"/>
          <w:lang w:val="en-US" w:eastAsia="zh-CN"/>
        </w:rPr>
        <w:t>年）》要求，</w:t>
      </w:r>
      <w:r>
        <w:rPr>
          <w:rFonts w:hint="eastAsia" w:ascii="仿宋_GB2312" w:hAnsi="仿宋_GB2312" w:eastAsia="仿宋_GB2312" w:cs="仿宋_GB2312"/>
          <w:color w:val="auto"/>
          <w:sz w:val="32"/>
          <w:szCs w:val="32"/>
          <w:lang w:val="en-US" w:eastAsia="zh-CN"/>
        </w:rPr>
        <w:t>加强领导</w:t>
      </w:r>
      <w:r>
        <w:rPr>
          <w:rFonts w:hint="eastAsia" w:ascii="仿宋_GB2312" w:hAnsi="仿宋_GB2312" w:eastAsia="仿宋_GB2312" w:cs="仿宋_GB2312"/>
          <w:color w:val="auto"/>
          <w:sz w:val="32"/>
          <w:szCs w:val="32"/>
        </w:rPr>
        <w:t>、细化责任、狠抓落实，法治</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建设工作稳步推进，</w:t>
      </w:r>
      <w:r>
        <w:rPr>
          <w:rFonts w:hint="eastAsia" w:ascii="仿宋_GB2312" w:hAnsi="仿宋_GB2312" w:eastAsia="仿宋_GB2312" w:cs="仿宋_GB2312"/>
          <w:sz w:val="32"/>
          <w:szCs w:val="32"/>
          <w:lang w:val="en-US" w:eastAsia="zh-CN"/>
        </w:rPr>
        <w:t>现将我乡</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年法治政府建设工作总结报告如下：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default" w:ascii="Times New Roman" w:hAnsi="Times New Roman" w:eastAsia="楷体_GB2312" w:cs="Times New Roman"/>
          <w:color w:val="auto"/>
          <w:sz w:val="32"/>
          <w:szCs w:val="32"/>
          <w:lang w:val="en-US" w:eastAsia="zh-CN"/>
        </w:rPr>
        <w:t>2023</w:t>
      </w:r>
      <w:r>
        <w:rPr>
          <w:rFonts w:hint="eastAsia" w:ascii="黑体" w:hAnsi="黑体" w:eastAsia="黑体" w:cs="黑体"/>
          <w:color w:val="auto"/>
          <w:sz w:val="32"/>
          <w:szCs w:val="32"/>
          <w:lang w:val="en-US" w:eastAsia="zh-CN"/>
        </w:rPr>
        <w:t>年法治政府建设情况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（一）完善体制机制。</w:t>
      </w:r>
      <w:r>
        <w:rPr>
          <w:rFonts w:hint="eastAsia" w:ascii="仿宋_GB2312" w:hAnsi="仿宋_GB2312" w:eastAsia="仿宋_GB2312" w:cs="仿宋_GB2312"/>
          <w:sz w:val="32"/>
          <w:szCs w:val="32"/>
          <w:lang w:val="en-US" w:eastAsia="zh-CN"/>
        </w:rPr>
        <w:t>切实推进法治政府建设，落实主要负责人为第一责任人的法治政府建设领导协调机制。党政主要负责人充分发挥党委在推进本地法治建设中的领导作用，及时研究解决有关重大问题；对法治建设重要工作亲自部署、重大问题亲自过问、重点环节亲自协调、重要任务亲自督办。</w:t>
      </w:r>
      <w:r>
        <w:rPr>
          <w:rFonts w:hint="default" w:ascii="Times New Roman" w:hAnsi="Times New Roman" w:eastAsia="仿宋_GB2312" w:cs="Times New Roman"/>
          <w:color w:val="auto"/>
          <w:sz w:val="32"/>
          <w:szCs w:val="32"/>
          <w:highlight w:val="none"/>
          <w:lang w:eastAsia="zh-CN"/>
        </w:rPr>
        <w:t>202</w:t>
      </w:r>
      <w:r>
        <w:rPr>
          <w:rFonts w:hint="default" w:ascii="Times New Roman" w:hAnsi="Times New Roman" w:eastAsia="仿宋_GB2312" w:cs="Times New Roman"/>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年我乡无一起因不依法办事，而造成违规、违纪的问题。</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（二）加强法律服务队伍建设.</w:t>
      </w:r>
      <w:r>
        <w:rPr>
          <w:rFonts w:hint="eastAsia" w:ascii="仿宋_GB2312" w:hAnsi="仿宋_GB2312" w:eastAsia="仿宋_GB2312" w:cs="仿宋_GB2312"/>
          <w:sz w:val="32"/>
          <w:szCs w:val="32"/>
          <w:lang w:val="en-US" w:eastAsia="zh-CN"/>
        </w:rPr>
        <w:t>积极发展法律工作者和人民调解队伍，深入推进行政调解，依法化解社会矛盾纠纷。充分发挥调解员制度和乡村调解组织作用，整合司法所、法律明白人、人民调解员力量，全面掌握排查调处的主动权，并加大调处力度，调处化解各类矛盾</w:t>
      </w:r>
      <w:r>
        <w:rPr>
          <w:rFonts w:hint="default"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lang w:val="en-US" w:eastAsia="zh-CN"/>
        </w:rPr>
        <w:t>件，成功率</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%。依托</w:t>
      </w:r>
      <w:r>
        <w:rPr>
          <w:rFonts w:hint="eastAsia" w:ascii="仿宋_GB2312" w:hAnsi="仿宋_GB2312" w:eastAsia="仿宋_GB2312" w:cs="仿宋_GB2312"/>
          <w:color w:val="auto"/>
          <w:sz w:val="32"/>
          <w:szCs w:val="32"/>
          <w:highlight w:val="none"/>
          <w:lang w:eastAsia="zh-CN"/>
        </w:rPr>
        <w:t>法律顾问，现场解答和电话咨询等方式</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eastAsia="zh-CN"/>
        </w:rPr>
        <w:t>乡村两级</w:t>
      </w:r>
      <w:r>
        <w:rPr>
          <w:rFonts w:hint="eastAsia" w:ascii="仿宋_GB2312" w:hAnsi="仿宋_GB2312" w:eastAsia="仿宋_GB2312" w:cs="仿宋_GB2312"/>
          <w:color w:val="auto"/>
          <w:sz w:val="32"/>
          <w:szCs w:val="32"/>
          <w:highlight w:val="none"/>
        </w:rPr>
        <w:t>提供法律咨询</w:t>
      </w:r>
      <w:r>
        <w:rPr>
          <w:rFonts w:hint="default" w:ascii="Times New Roman" w:hAnsi="Times New Roman" w:eastAsia="仿宋_GB2312" w:cs="Times New Roman"/>
          <w:color w:val="auto"/>
          <w:sz w:val="32"/>
          <w:szCs w:val="32"/>
          <w:highlight w:val="none"/>
          <w:lang w:val="en-US" w:eastAsia="zh-CN"/>
        </w:rPr>
        <w:t>20</w:t>
      </w:r>
      <w:r>
        <w:rPr>
          <w:rFonts w:hint="eastAsia" w:ascii="仿宋_GB2312" w:hAnsi="仿宋_GB2312" w:eastAsia="仿宋_GB2312" w:cs="仿宋_GB2312"/>
          <w:color w:val="auto"/>
          <w:sz w:val="32"/>
          <w:szCs w:val="32"/>
          <w:highlight w:val="none"/>
          <w:lang w:val="en-US" w:eastAsia="zh-CN"/>
        </w:rPr>
        <w:t>余次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参与疑难复杂矛盾纠纷</w:t>
      </w:r>
      <w:r>
        <w:rPr>
          <w:rFonts w:hint="default" w:ascii="Times New Roman" w:hAnsi="Times New Roman" w:eastAsia="仿宋_GB2312" w:cs="Times New Roman"/>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次</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（三）严格规范性文件管理。</w:t>
      </w:r>
      <w:r>
        <w:rPr>
          <w:rFonts w:hint="eastAsia" w:ascii="仿宋_GB2312" w:hAnsi="仿宋_GB2312" w:eastAsia="仿宋_GB2312" w:cs="仿宋_GB2312"/>
          <w:sz w:val="32"/>
          <w:szCs w:val="32"/>
          <w:lang w:val="en-US" w:eastAsia="zh-CN"/>
        </w:rPr>
        <w:t>完善规范性文件制定程序，全面实行制定机关对规范性文件统一登记，统一编号，统一印发制度。涉及公民，法人和其他组织权利义务的规范性文件，按照法定要求和程序予以公布，未经公布的不得作为行政管理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（四）压实“谁执法谁普法”普法责任制。</w:t>
      </w:r>
      <w:r>
        <w:rPr>
          <w:rFonts w:hint="eastAsia" w:ascii="仿宋_GB2312" w:hAnsi="仿宋_GB2312" w:eastAsia="仿宋_GB2312" w:cs="仿宋_GB2312"/>
          <w:sz w:val="32"/>
          <w:szCs w:val="32"/>
          <w:lang w:val="en-US" w:eastAsia="zh-CN"/>
        </w:rPr>
        <w:t>推动普法融入立法、执法、司法和法律服务全过程。充分运用社会力量普法，加强普法志愿队伍建设，组织老党员、老干部、老教师等开展普法志愿服务，鼓励、支持文艺工作者、草根宣讲员等参与普法活动。注重分析不同群体的法治需求，精准推送普法内容，实现定制化、个性化、互动式普法，引导民众自觉守法、遇事找法、解决问题靠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（五）加强依法行政保障，提升行政能力建设</w:t>
      </w:r>
      <w:r>
        <w:rPr>
          <w:rFonts w:hint="eastAsia" w:ascii="仿宋_GB2312" w:hAnsi="仿宋_GB2312" w:eastAsia="仿宋_GB2312" w:cs="仿宋_GB2312"/>
          <w:sz w:val="32"/>
          <w:szCs w:val="32"/>
          <w:lang w:val="en-US" w:eastAsia="zh-CN"/>
        </w:rPr>
        <w:t>，健全领导干部学法制度，推进公职人员学法常态化。为推进全乡党员干部学法用法制度化、规范化、持续化，乡党委将宪法法律和党内法规列入党委</w:t>
      </w:r>
      <w:r>
        <w:rPr>
          <w:rFonts w:hint="eastAsia" w:ascii="仿宋_GB2312" w:hAnsi="仿宋_GB2312" w:eastAsia="仿宋_GB2312" w:cs="仿宋_GB2312"/>
          <w:sz w:val="32"/>
          <w:szCs w:val="32"/>
          <w:shd w:val="clear" w:fill="FFFFFF"/>
          <w:lang w:val="en-US" w:eastAsia="zh-CN"/>
        </w:rPr>
        <w:t>理论学习中心组</w:t>
      </w:r>
      <w:r>
        <w:rPr>
          <w:rFonts w:hint="eastAsia" w:ascii="仿宋_GB2312" w:hAnsi="仿宋_GB2312" w:eastAsia="仿宋_GB2312" w:cs="仿宋_GB2312"/>
          <w:sz w:val="32"/>
          <w:szCs w:val="32"/>
          <w:lang w:val="en-US" w:eastAsia="zh-CN"/>
        </w:rPr>
        <w:t>学习、周二干部理论学习内容，健全并落实本乡法治讲座、法治培训、法律知识测试等制度。</w:t>
      </w:r>
    </w:p>
    <w:p>
      <w:pPr>
        <w:keepNext w:val="0"/>
        <w:keepLines w:val="0"/>
        <w:pageBreakBefore w:val="0"/>
        <w:widowControl w:val="0"/>
        <w:kinsoku/>
        <w:wordWrap/>
        <w:overflowPunct/>
        <w:topLinePunct w:val="0"/>
        <w:autoSpaceDE/>
        <w:autoSpaceDN/>
        <w:bidi w:val="0"/>
        <w:spacing w:line="560" w:lineRule="exact"/>
        <w:ind w:left="0" w:firstLine="640" w:firstLineChars="200"/>
        <w:jc w:val="both"/>
        <w:outlineLvl w:val="9"/>
        <w:rPr>
          <w:rFonts w:hint="eastAsia"/>
          <w:color w:val="auto"/>
          <w:lang w:val="en-US" w:eastAsia="zh-CN"/>
        </w:rPr>
      </w:pPr>
      <w:r>
        <w:rPr>
          <w:rFonts w:hint="eastAsia" w:ascii="黑体" w:hAnsi="黑体" w:eastAsia="黑体" w:cs="黑体"/>
          <w:b w:val="0"/>
          <w:bCs w:val="0"/>
          <w:color w:val="auto"/>
          <w:sz w:val="32"/>
          <w:szCs w:val="32"/>
          <w:lang w:val="en-US" w:eastAsia="zh-CN"/>
        </w:rPr>
        <w:t>二、存在问题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仿宋_GB2312" w:hAnsi="仿宋_GB2312" w:eastAsia="仿宋_GB2312" w:cs="仿宋_GB2312"/>
          <w:sz w:val="32"/>
          <w:szCs w:val="32"/>
          <w:lang w:val="en-US" w:eastAsia="zh-CN"/>
        </w:rPr>
        <w:t>对市政府配备的法律顾问团力量运用不完善，只会在有疑难问题时咨询，法律顾问团下乡镇参与普法次数少。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w:t>
      </w:r>
      <w:r>
        <w:rPr>
          <w:rFonts w:hint="eastAsia" w:ascii="仿宋_GB2312" w:hAnsi="仿宋_GB2312" w:eastAsia="仿宋_GB2312" w:cs="仿宋_GB2312"/>
          <w:sz w:val="32"/>
          <w:szCs w:val="32"/>
          <w:lang w:val="en-US" w:eastAsia="zh-CN"/>
        </w:rPr>
        <w:t>领导干部学法、用法理念和依法行政的法律意识还需要进一步坚持和强化；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w:t>
      </w:r>
      <w:r>
        <w:rPr>
          <w:rFonts w:hint="eastAsia" w:ascii="仿宋_GB2312" w:hAnsi="仿宋_GB2312" w:eastAsia="仿宋_GB2312" w:cs="仿宋_GB2312"/>
          <w:sz w:val="32"/>
          <w:szCs w:val="32"/>
          <w:lang w:val="en-US" w:eastAsia="zh-CN"/>
        </w:rPr>
        <w:t>执法人员偏少，执法装备配备不到位，从而导致执法力量薄弱，尤其是缺乏高素质的法治工作专业人才，一定程度上</w:t>
      </w:r>
      <w:r>
        <w:rPr>
          <w:rFonts w:hint="eastAsia" w:ascii="仿宋_GB2312" w:hAnsi="仿宋_GB2312" w:eastAsia="仿宋_GB2312" w:cs="仿宋_GB2312"/>
          <w:sz w:val="32"/>
          <w:szCs w:val="32"/>
          <w:shd w:val="clear" w:fill="FFFFFF"/>
          <w:lang w:val="en-US" w:eastAsia="zh-CN"/>
        </w:rPr>
        <w:t>不能很好地满足</w:t>
      </w:r>
      <w:r>
        <w:rPr>
          <w:rFonts w:hint="eastAsia" w:ascii="仿宋_GB2312" w:hAnsi="仿宋_GB2312" w:eastAsia="仿宋_GB2312" w:cs="仿宋_GB2312"/>
          <w:sz w:val="32"/>
          <w:szCs w:val="32"/>
          <w:lang w:val="en-US" w:eastAsia="zh-CN"/>
        </w:rPr>
        <w:t>实际工作需要。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（四）</w:t>
      </w:r>
      <w:r>
        <w:rPr>
          <w:rFonts w:hint="eastAsia" w:ascii="仿宋_GB2312" w:hAnsi="仿宋_GB2312" w:eastAsia="仿宋_GB2312" w:cs="仿宋_GB2312"/>
          <w:b w:val="0"/>
          <w:bCs w:val="0"/>
          <w:sz w:val="32"/>
          <w:szCs w:val="32"/>
          <w:lang w:val="en-US" w:eastAsia="zh-CN"/>
        </w:rPr>
        <w:t>档案资料的整理还需进一步规范。各项重点任务开展落实情况的档案资料还需补充完善，台账制度的落实存在一定欠缺。</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both"/>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楷体_GB2312" w:cs="Times New Roman"/>
          <w:b w:val="0"/>
          <w:bCs w:val="0"/>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一是加强法治建设的领导，提升法治意识。</w:t>
      </w:r>
      <w:r>
        <w:rPr>
          <w:rFonts w:hint="eastAsia" w:ascii="仿宋_GB2312" w:hAnsi="仿宋_GB2312" w:eastAsia="仿宋_GB2312" w:cs="仿宋_GB2312"/>
          <w:sz w:val="32"/>
          <w:szCs w:val="32"/>
          <w:lang w:val="en-US" w:eastAsia="zh-CN"/>
        </w:rPr>
        <w:t>一方面，努力提升政治站位，始终增强“四个意识”、坚定“四个自信”、做到“两个维护”；另一方面，加强法治学习培训，紧跟时代潮流，及时更新法律知识，同时抓好普法工作，进一步增强班子成员及机关干部对国家法律法规和规章的认识广度和深度，做到学以致用、用以促学、学用相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二是加强制度建设，完善依法行政机制。</w:t>
      </w:r>
      <w:r>
        <w:rPr>
          <w:rFonts w:hint="eastAsia" w:ascii="仿宋_GB2312" w:hAnsi="仿宋_GB2312" w:eastAsia="仿宋_GB2312" w:cs="仿宋_GB2312"/>
          <w:sz w:val="32"/>
          <w:szCs w:val="32"/>
          <w:lang w:val="en-US" w:eastAsia="zh-CN"/>
        </w:rPr>
        <w:t>不断完善行政决策机制，建立健全公众参与、专家论证、合法性评估、重大决策集体讨论和决策公开等制度，对决策过程进行控制，实施依法、科学和民主决策。健全决策监督和责任追究制度，按照“谁决策、谁负责”的原则，建立并落实决策责任制度，对超越权限、违反程序决策造成重大损失的，要严肃追究决策者的责任。</w:t>
      </w:r>
    </w:p>
    <w:p>
      <w:pPr>
        <w:pStyle w:val="2"/>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（二）完成目标任务的主要措施。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Times New Roman" w:eastAsia="仿宋_GB2312" w:cs="仿宋_GB2312"/>
          <w:b/>
          <w:bCs/>
          <w:i w:val="0"/>
          <w:caps w:val="0"/>
          <w:color w:val="auto"/>
          <w:spacing w:val="0"/>
          <w:kern w:val="0"/>
          <w:sz w:val="32"/>
          <w:szCs w:val="32"/>
          <w:lang w:val="en-US" w:eastAsia="zh-CN" w:bidi="ar"/>
        </w:rPr>
        <w:t>一是</w:t>
      </w:r>
      <w:r>
        <w:rPr>
          <w:rFonts w:hint="eastAsia" w:ascii="仿宋_GB2312" w:hAnsi="仿宋_GB2312" w:eastAsia="仿宋_GB2312" w:cs="仿宋_GB2312"/>
          <w:b/>
          <w:bCs/>
          <w:i w:val="0"/>
          <w:caps w:val="0"/>
          <w:color w:val="000000"/>
          <w:spacing w:val="0"/>
          <w:sz w:val="32"/>
          <w:szCs w:val="32"/>
          <w:shd w:val="clear" w:fill="FFFFFF"/>
        </w:rPr>
        <w:t>抓好关键</w:t>
      </w:r>
      <w:r>
        <w:rPr>
          <w:rFonts w:hint="eastAsia" w:ascii="仿宋_GB2312" w:hAnsi="仿宋_GB2312" w:eastAsia="仿宋_GB2312" w:cs="仿宋_GB2312"/>
          <w:b/>
          <w:bCs/>
          <w:i w:val="0"/>
          <w:caps w:val="0"/>
          <w:color w:val="000000"/>
          <w:spacing w:val="0"/>
          <w:sz w:val="32"/>
          <w:szCs w:val="32"/>
          <w:shd w:val="clear" w:fill="FFFFFF"/>
          <w:lang w:eastAsia="zh-CN"/>
        </w:rPr>
        <w:t>少数</w:t>
      </w:r>
      <w:r>
        <w:rPr>
          <w:rFonts w:hint="eastAsia" w:ascii="仿宋_GB2312" w:hAnsi="仿宋_GB2312" w:eastAsia="仿宋_GB2312" w:cs="仿宋_GB2312"/>
          <w:b/>
          <w:bCs/>
          <w:i w:val="0"/>
          <w:caps w:val="0"/>
          <w:color w:val="000000"/>
          <w:spacing w:val="0"/>
          <w:sz w:val="32"/>
          <w:szCs w:val="32"/>
          <w:shd w:val="clear" w:fill="FFFFFF"/>
        </w:rPr>
        <w:t>，有效带动多数。</w:t>
      </w:r>
      <w:r>
        <w:rPr>
          <w:rFonts w:hint="eastAsia" w:ascii="仿宋_GB2312" w:hAnsi="仿宋_GB2312" w:eastAsia="仿宋_GB2312" w:cs="仿宋_GB2312"/>
          <w:i w:val="0"/>
          <w:caps w:val="0"/>
          <w:color w:val="000000"/>
          <w:spacing w:val="0"/>
          <w:sz w:val="32"/>
          <w:szCs w:val="32"/>
          <w:shd w:val="clear" w:fill="FFFFFF"/>
        </w:rPr>
        <w:t>将</w:t>
      </w:r>
      <w:r>
        <w:rPr>
          <w:rFonts w:hint="eastAsia" w:ascii="仿宋_GB2312" w:hAnsi="仿宋_GB2312" w:eastAsia="仿宋_GB2312" w:cs="仿宋_GB2312"/>
          <w:i w:val="0"/>
          <w:caps w:val="0"/>
          <w:color w:val="000000"/>
          <w:spacing w:val="0"/>
          <w:sz w:val="32"/>
          <w:szCs w:val="32"/>
          <w:shd w:val="clear" w:fill="FFFFFF"/>
          <w:lang w:eastAsia="zh-CN"/>
        </w:rPr>
        <w:t>《中华人民共和国宪法》</w:t>
      </w:r>
      <w:r>
        <w:rPr>
          <w:rFonts w:hint="eastAsia" w:ascii="仿宋_GB2312" w:hAnsi="仿宋_GB2312" w:eastAsia="仿宋_GB2312" w:cs="仿宋_GB2312"/>
          <w:i w:val="0"/>
          <w:caps w:val="0"/>
          <w:color w:val="000000"/>
          <w:spacing w:val="0"/>
          <w:sz w:val="32"/>
          <w:szCs w:val="32"/>
          <w:shd w:val="clear" w:fill="FFFFFF"/>
        </w:rPr>
        <w:t>《民法典》党内法规等法律法规列入</w:t>
      </w:r>
      <w:r>
        <w:rPr>
          <w:rFonts w:hint="eastAsia" w:ascii="仿宋_GB2312" w:hAnsi="仿宋_GB2312" w:eastAsia="仿宋_GB2312" w:cs="仿宋_GB2312"/>
          <w:i w:val="0"/>
          <w:caps w:val="0"/>
          <w:color w:val="000000"/>
          <w:spacing w:val="0"/>
          <w:sz w:val="32"/>
          <w:szCs w:val="32"/>
          <w:shd w:val="clear" w:fill="FFFFFF"/>
          <w:lang w:eastAsia="zh-CN"/>
        </w:rPr>
        <w:t>乡</w:t>
      </w:r>
      <w:r>
        <w:rPr>
          <w:rFonts w:hint="eastAsia" w:ascii="仿宋_GB2312" w:hAnsi="仿宋_GB2312" w:eastAsia="仿宋_GB2312" w:cs="仿宋_GB2312"/>
          <w:i w:val="0"/>
          <w:caps w:val="0"/>
          <w:color w:val="000000"/>
          <w:spacing w:val="0"/>
          <w:sz w:val="32"/>
          <w:szCs w:val="32"/>
          <w:shd w:val="clear" w:fill="FFFFFF"/>
        </w:rPr>
        <w:t>党委理论学习中心组学习计划，领导干部带头学习宣传、带头遵守执行党</w:t>
      </w:r>
      <w:bookmarkStart w:id="0" w:name="_GoBack"/>
      <w:bookmarkEnd w:id="0"/>
      <w:r>
        <w:rPr>
          <w:rFonts w:hint="eastAsia" w:ascii="仿宋_GB2312" w:hAnsi="仿宋_GB2312" w:eastAsia="仿宋_GB2312" w:cs="仿宋_GB2312"/>
          <w:i w:val="0"/>
          <w:caps w:val="0"/>
          <w:color w:val="000000"/>
          <w:spacing w:val="0"/>
          <w:sz w:val="32"/>
          <w:szCs w:val="32"/>
          <w:shd w:val="clear" w:fill="FFFFFF"/>
        </w:rPr>
        <w:t>内法规和国家法律，以上率下带动全体干部学法用法，切实提升依法行政能力。积极组织执法人员参加行政执法资格证考试</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利用</w:t>
      </w:r>
      <w:r>
        <w:rPr>
          <w:rFonts w:hint="eastAsia" w:ascii="仿宋_GB2312" w:hAnsi="仿宋_GB2312" w:eastAsia="仿宋_GB2312" w:cs="仿宋_GB2312"/>
          <w:i w:val="0"/>
          <w:caps w:val="0"/>
          <w:color w:val="000000"/>
          <w:spacing w:val="0"/>
          <w:sz w:val="32"/>
          <w:szCs w:val="32"/>
          <w:shd w:val="clear" w:fill="FFFFFF"/>
          <w:lang w:val="en-US" w:eastAsia="zh-CN"/>
        </w:rPr>
        <w:t>重要</w:t>
      </w:r>
      <w:r>
        <w:rPr>
          <w:rFonts w:hint="eastAsia" w:ascii="仿宋_GB2312" w:hAnsi="仿宋_GB2312" w:eastAsia="仿宋_GB2312" w:cs="仿宋_GB2312"/>
          <w:i w:val="0"/>
          <w:caps w:val="0"/>
          <w:color w:val="000000"/>
          <w:spacing w:val="0"/>
          <w:sz w:val="32"/>
          <w:szCs w:val="32"/>
          <w:shd w:val="clear" w:fill="FFFFFF"/>
        </w:rPr>
        <w:t>时间节点，推动普法宣传活动“</w:t>
      </w:r>
      <w:r>
        <w:rPr>
          <w:rFonts w:hint="eastAsia" w:ascii="仿宋_GB2312" w:hAnsi="仿宋_GB2312" w:eastAsia="仿宋_GB2312" w:cs="仿宋_GB2312"/>
          <w:i w:val="0"/>
          <w:caps w:val="0"/>
          <w:color w:val="000000"/>
          <w:spacing w:val="0"/>
          <w:sz w:val="32"/>
          <w:szCs w:val="32"/>
          <w:shd w:val="clear" w:fill="FFFFFF"/>
          <w:lang w:eastAsia="zh-CN"/>
        </w:rPr>
        <w:t>六</w:t>
      </w:r>
      <w:r>
        <w:rPr>
          <w:rFonts w:hint="eastAsia" w:ascii="仿宋_GB2312" w:hAnsi="仿宋_GB2312" w:eastAsia="仿宋_GB2312" w:cs="仿宋_GB2312"/>
          <w:i w:val="0"/>
          <w:caps w:val="0"/>
          <w:color w:val="000000"/>
          <w:spacing w:val="0"/>
          <w:sz w:val="32"/>
          <w:szCs w:val="32"/>
          <w:shd w:val="clear" w:fill="FFFFFF"/>
        </w:rPr>
        <w:t>进”。全面</w:t>
      </w:r>
      <w:r>
        <w:rPr>
          <w:rFonts w:hint="eastAsia" w:ascii="仿宋_GB2312" w:hAnsi="仿宋_GB2312" w:eastAsia="仿宋_GB2312" w:cs="仿宋_GB2312"/>
          <w:i w:val="0"/>
          <w:caps w:val="0"/>
          <w:color w:val="000000"/>
          <w:spacing w:val="0"/>
          <w:sz w:val="32"/>
          <w:szCs w:val="32"/>
          <w:shd w:val="clear" w:fill="FFFFFF"/>
          <w:lang w:eastAsia="zh-CN"/>
        </w:rPr>
        <w:t>增强</w:t>
      </w:r>
      <w:r>
        <w:rPr>
          <w:rFonts w:hint="eastAsia" w:ascii="仿宋_GB2312" w:hAnsi="仿宋_GB2312" w:eastAsia="仿宋_GB2312" w:cs="仿宋_GB2312"/>
          <w:i w:val="0"/>
          <w:caps w:val="0"/>
          <w:color w:val="000000"/>
          <w:spacing w:val="0"/>
          <w:sz w:val="32"/>
          <w:szCs w:val="32"/>
          <w:shd w:val="clear" w:fill="FFFFFF"/>
        </w:rPr>
        <w:t>群众法治意识，不断提升普法工作的实际成效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Times New Roman" w:eastAsia="仿宋_GB2312" w:cs="仿宋_GB2312"/>
          <w:b w:val="0"/>
          <w:bCs w:val="0"/>
          <w:i w:val="0"/>
          <w:caps w:val="0"/>
          <w:color w:val="auto"/>
          <w:spacing w:val="0"/>
          <w:kern w:val="0"/>
          <w:sz w:val="32"/>
          <w:szCs w:val="32"/>
          <w:lang w:val="en-US" w:eastAsia="zh-CN" w:bidi="ar"/>
        </w:rPr>
      </w:pPr>
      <w:r>
        <w:rPr>
          <w:rFonts w:hint="eastAsia" w:ascii="仿宋_GB2312" w:hAnsi="Times New Roman" w:eastAsia="仿宋_GB2312" w:cs="仿宋_GB2312"/>
          <w:b/>
          <w:bCs/>
          <w:i w:val="0"/>
          <w:caps w:val="0"/>
          <w:color w:val="auto"/>
          <w:spacing w:val="0"/>
          <w:kern w:val="0"/>
          <w:sz w:val="32"/>
          <w:szCs w:val="32"/>
          <w:lang w:val="en-US" w:eastAsia="zh-CN" w:bidi="ar"/>
        </w:rPr>
        <w:t>二是完善监督体系，形成长效机制。</w:t>
      </w:r>
      <w:r>
        <w:rPr>
          <w:rFonts w:hint="eastAsia" w:ascii="仿宋_GB2312" w:hAnsi="Times New Roman" w:eastAsia="仿宋_GB2312" w:cs="仿宋_GB2312"/>
          <w:b w:val="0"/>
          <w:bCs w:val="0"/>
          <w:i w:val="0"/>
          <w:caps w:val="0"/>
          <w:color w:val="auto"/>
          <w:spacing w:val="0"/>
          <w:kern w:val="0"/>
          <w:sz w:val="32"/>
          <w:szCs w:val="32"/>
          <w:lang w:val="en-US" w:eastAsia="zh-CN" w:bidi="ar"/>
        </w:rPr>
        <w:t>要建立健全多元监督机制，深化内部监督和外部监督，推动各类监督的协调配合，使监督内容及成效清晰明确。要强化行政执法监督，定期开展行政执法监督检查，对执法中存在的问题及时提出意见和建议，使其改进工作，防止权力滥用。</w:t>
      </w:r>
    </w:p>
    <w:p>
      <w:pPr>
        <w:pStyle w:val="7"/>
        <w:keepNext w:val="0"/>
        <w:keepLines w:val="0"/>
        <w:pageBreakBefore w:val="0"/>
        <w:widowControl w:val="0"/>
        <w:kinsoku/>
        <w:wordWrap/>
        <w:overflowPunct/>
        <w:topLinePunct w:val="0"/>
        <w:autoSpaceDE/>
        <w:autoSpaceDN/>
        <w:bidi w:val="0"/>
        <w:snapToGrid/>
        <w:spacing w:after="0" w:line="560" w:lineRule="exact"/>
        <w:ind w:left="0" w:leftChars="0" w:firstLine="643"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eastAsia="仿宋_GB2312" w:cs="仿宋_GB2312"/>
          <w:b/>
          <w:bCs/>
          <w:i w:val="0"/>
          <w:caps w:val="0"/>
          <w:color w:val="auto"/>
          <w:spacing w:val="0"/>
          <w:kern w:val="0"/>
          <w:sz w:val="32"/>
          <w:szCs w:val="32"/>
          <w:lang w:val="en-US" w:eastAsia="zh-CN" w:bidi="ar"/>
        </w:rPr>
        <w:t>三是</w:t>
      </w:r>
      <w:r>
        <w:rPr>
          <w:rFonts w:hint="eastAsia" w:ascii="仿宋_GB2312" w:hAnsi="Times New Roman" w:eastAsia="仿宋_GB2312" w:cs="仿宋_GB2312"/>
          <w:b/>
          <w:bCs/>
          <w:i w:val="0"/>
          <w:caps w:val="0"/>
          <w:color w:val="auto"/>
          <w:spacing w:val="0"/>
          <w:kern w:val="0"/>
          <w:sz w:val="32"/>
          <w:szCs w:val="32"/>
          <w:lang w:val="en-US" w:eastAsia="zh-CN" w:bidi="ar"/>
        </w:rPr>
        <w:t>提高依法治镇能力，压实各级责任。</w:t>
      </w:r>
      <w:r>
        <w:rPr>
          <w:rFonts w:hint="eastAsia" w:ascii="仿宋_GB2312" w:hAnsi="Times New Roman" w:eastAsia="仿宋_GB2312" w:cs="仿宋_GB2312"/>
          <w:b w:val="0"/>
          <w:bCs w:val="0"/>
          <w:i w:val="0"/>
          <w:caps w:val="0"/>
          <w:color w:val="auto"/>
          <w:spacing w:val="0"/>
          <w:kern w:val="0"/>
          <w:sz w:val="32"/>
          <w:szCs w:val="32"/>
          <w:lang w:val="en-US" w:eastAsia="zh-CN" w:bidi="ar"/>
        </w:rPr>
        <w:t>把依法行政、普法宣传等</w:t>
      </w:r>
      <w:r>
        <w:rPr>
          <w:rFonts w:hint="eastAsia" w:ascii="仿宋_GB2312" w:eastAsia="仿宋_GB2312" w:cs="仿宋_GB2312"/>
          <w:b w:val="0"/>
          <w:bCs w:val="0"/>
          <w:i w:val="0"/>
          <w:caps w:val="0"/>
          <w:color w:val="auto"/>
          <w:spacing w:val="0"/>
          <w:kern w:val="0"/>
          <w:sz w:val="32"/>
          <w:szCs w:val="32"/>
          <w:shd w:val="clear" w:fill="FFFFFF"/>
          <w:lang w:val="en-US" w:eastAsia="zh-CN" w:bidi="ar"/>
        </w:rPr>
        <w:t>法治建设</w:t>
      </w:r>
      <w:r>
        <w:rPr>
          <w:rFonts w:hint="eastAsia" w:ascii="仿宋_GB2312" w:hAnsi="Times New Roman" w:eastAsia="仿宋_GB2312" w:cs="仿宋_GB2312"/>
          <w:b w:val="0"/>
          <w:bCs w:val="0"/>
          <w:i w:val="0"/>
          <w:caps w:val="0"/>
          <w:color w:val="auto"/>
          <w:spacing w:val="0"/>
          <w:kern w:val="0"/>
          <w:sz w:val="32"/>
          <w:szCs w:val="32"/>
          <w:lang w:val="en-US" w:eastAsia="zh-CN" w:bidi="ar"/>
        </w:rPr>
        <w:t>内容</w:t>
      </w:r>
      <w:r>
        <w:rPr>
          <w:rFonts w:hint="eastAsia" w:ascii="仿宋_GB2312" w:eastAsia="仿宋_GB2312" w:cs="仿宋_GB2312"/>
          <w:b w:val="0"/>
          <w:bCs w:val="0"/>
          <w:i w:val="0"/>
          <w:caps w:val="0"/>
          <w:color w:val="auto"/>
          <w:spacing w:val="0"/>
          <w:kern w:val="0"/>
          <w:sz w:val="32"/>
          <w:szCs w:val="32"/>
          <w:lang w:val="en-US" w:eastAsia="zh-CN" w:bidi="ar"/>
        </w:rPr>
        <w:t>纳入</w:t>
      </w:r>
      <w:r>
        <w:rPr>
          <w:rFonts w:hint="eastAsia" w:ascii="仿宋_GB2312" w:hAnsi="Times New Roman" w:eastAsia="仿宋_GB2312" w:cs="仿宋_GB2312"/>
          <w:b w:val="0"/>
          <w:bCs w:val="0"/>
          <w:i w:val="0"/>
          <w:caps w:val="0"/>
          <w:color w:val="auto"/>
          <w:spacing w:val="0"/>
          <w:kern w:val="0"/>
          <w:sz w:val="32"/>
          <w:szCs w:val="32"/>
          <w:lang w:val="en-US" w:eastAsia="zh-CN" w:bidi="ar"/>
        </w:rPr>
        <w:t>干部年终考核中，压实依法治镇责任。加大对辖区内违法违纪案件的查办力度，对于违反党纪国法的人和事，做到严肃查处、公开曝光，强化震慑，自觉维护党纪国法的权威，着力打造人民满意的法治政府、法治机关、法治社会。</w:t>
      </w:r>
    </w:p>
    <w:p>
      <w:pPr>
        <w:rPr>
          <w:rFonts w:hint="eastAsia"/>
          <w:lang w:val="en-US" w:eastAsia="zh-CN"/>
        </w:rPr>
      </w:pPr>
    </w:p>
    <w:p>
      <w:pPr>
        <w:pStyle w:val="2"/>
        <w:rPr>
          <w:rFonts w:hint="eastAsia"/>
          <w:lang w:val="en-US" w:eastAsia="zh-CN"/>
        </w:rPr>
      </w:pPr>
    </w:p>
    <w:p>
      <w:pPr>
        <w:pStyle w:val="7"/>
        <w:keepNext w:val="0"/>
        <w:keepLines w:val="0"/>
        <w:pageBreakBefore w:val="0"/>
        <w:widowControl w:val="0"/>
        <w:kinsoku/>
        <w:wordWrap/>
        <w:overflowPunct/>
        <w:topLinePunct w:val="0"/>
        <w:autoSpaceDE/>
        <w:autoSpaceDN/>
        <w:bidi w:val="0"/>
        <w:snapToGrid/>
        <w:spacing w:after="0" w:line="560" w:lineRule="exact"/>
        <w:ind w:left="6077" w:leftChars="608" w:hanging="4800" w:hangingChars="15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乌苏市夹河子乡人民政府</w:t>
      </w:r>
    </w:p>
    <w:p>
      <w:pPr>
        <w:pStyle w:val="7"/>
        <w:keepNext w:val="0"/>
        <w:keepLines w:val="0"/>
        <w:pageBreakBefore w:val="0"/>
        <w:widowControl w:val="0"/>
        <w:kinsoku/>
        <w:wordWrap/>
        <w:overflowPunct/>
        <w:topLinePunct w:val="0"/>
        <w:autoSpaceDE/>
        <w:autoSpaceDN/>
        <w:bidi w:val="0"/>
        <w:snapToGrid/>
        <w:spacing w:after="0" w:line="560" w:lineRule="exact"/>
        <w:ind w:left="0"/>
        <w:jc w:val="left"/>
        <w:textAlignment w:val="auto"/>
        <w:outlineLvl w:val="9"/>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2024年3月9日  </w:t>
      </w:r>
      <w:r>
        <w:rPr>
          <w:rFonts w:hint="eastAsia" w:ascii="Times New Roman" w:hAnsi="Times New Roman" w:eastAsia="楷体_GB2312" w:cs="Times New Roman"/>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8C423AE"/>
    <w:rsid w:val="0B2C17A1"/>
    <w:rsid w:val="0E5B71EA"/>
    <w:rsid w:val="14CA19A7"/>
    <w:rsid w:val="1B1B72FA"/>
    <w:rsid w:val="1EFE3241"/>
    <w:rsid w:val="219240E0"/>
    <w:rsid w:val="238735C1"/>
    <w:rsid w:val="3D790B4B"/>
    <w:rsid w:val="41034161"/>
    <w:rsid w:val="47BF687A"/>
    <w:rsid w:val="489D642B"/>
    <w:rsid w:val="4CB91BDD"/>
    <w:rsid w:val="51341ACF"/>
    <w:rsid w:val="51D5384E"/>
    <w:rsid w:val="53C438F2"/>
    <w:rsid w:val="56FF2E93"/>
    <w:rsid w:val="5BB66F41"/>
    <w:rsid w:val="60AF3982"/>
    <w:rsid w:val="64246A4D"/>
    <w:rsid w:val="66E872B1"/>
    <w:rsid w:val="6D3A586E"/>
    <w:rsid w:val="6D46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next w:val="1"/>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喜文</cp:lastModifiedBy>
  <cp:lastPrinted>2024-03-12T03:00:00Z</cp:lastPrinted>
  <dcterms:modified xsi:type="dcterms:W3CDTF">2024-03-28T04:44:38Z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35E1D250C5A44E80BB59B6B843D0303C_11</vt:lpwstr>
  </property>
  <property fmtid="{D5CDD505-2E9C-101B-9397-08002B2CF9AE}" pid="4" name="hmcheck_markmode">
    <vt:i4>0</vt:i4>
  </property>
</Properties>
</file>