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0" w:rightChars="-24" w:firstLine="357"/>
        <w:jc w:val="center"/>
        <w:rPr>
          <w:rFonts w:hint="eastAsia" w:ascii="宋体" w:hAnsi="宋体" w:eastAsia="宋体" w:cs="宋体"/>
          <w:b/>
          <w:color w:val="auto"/>
          <w:sz w:val="48"/>
          <w:szCs w:val="48"/>
        </w:rPr>
      </w:pPr>
    </w:p>
    <w:p>
      <w:pPr>
        <w:ind w:right="-50" w:rightChars="-24" w:firstLine="357"/>
        <w:jc w:val="center"/>
        <w:rPr>
          <w:rFonts w:hint="eastAsia" w:ascii="宋体" w:hAnsi="宋体" w:eastAsia="宋体" w:cs="宋体"/>
          <w:b/>
          <w:color w:val="auto"/>
          <w:sz w:val="48"/>
          <w:szCs w:val="48"/>
        </w:rPr>
      </w:pPr>
    </w:p>
    <w:p>
      <w:pPr>
        <w:ind w:right="-50" w:rightChars="-24" w:firstLine="357"/>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w:t>
      </w:r>
      <w:r>
        <w:rPr>
          <w:rFonts w:hint="eastAsia" w:ascii="宋体" w:hAnsi="宋体" w:eastAsia="宋体" w:cs="宋体"/>
          <w:b/>
          <w:color w:val="auto"/>
          <w:spacing w:val="1"/>
          <w:sz w:val="48"/>
          <w:szCs w:val="48"/>
          <w:lang w:val="en-US" w:eastAsia="zh-CN"/>
        </w:rPr>
        <w:t>新疆兴晟源建材有限公司新疆乌苏市古尔图镇西南侧建筑用砂矿矿产资源开发利用与生态保护修复方案</w:t>
      </w:r>
      <w:r>
        <w:rPr>
          <w:rFonts w:hint="eastAsia" w:ascii="宋体" w:hAnsi="宋体" w:eastAsia="宋体" w:cs="宋体"/>
          <w:b/>
          <w:color w:val="auto"/>
          <w:sz w:val="48"/>
          <w:szCs w:val="48"/>
        </w:rPr>
        <w:t>》</w:t>
      </w:r>
    </w:p>
    <w:p>
      <w:pPr>
        <w:ind w:right="-50" w:rightChars="-24" w:firstLine="357"/>
        <w:jc w:val="center"/>
        <w:rPr>
          <w:rFonts w:hint="eastAsia" w:ascii="宋体" w:hAnsi="宋体" w:eastAsia="宋体" w:cs="宋体"/>
          <w:b/>
          <w:color w:val="000000"/>
          <w:sz w:val="48"/>
          <w:szCs w:val="48"/>
          <w:lang w:eastAsia="zh-CN"/>
        </w:rPr>
      </w:pPr>
      <w:r>
        <w:rPr>
          <w:rFonts w:hint="eastAsia" w:ascii="宋体" w:hAnsi="宋体" w:eastAsia="宋体" w:cs="宋体"/>
          <w:b/>
          <w:color w:val="000000"/>
          <w:sz w:val="48"/>
          <w:szCs w:val="48"/>
          <w:lang w:eastAsia="zh-CN"/>
        </w:rPr>
        <w:t>专家审核意见书</w:t>
      </w:r>
    </w:p>
    <w:p>
      <w:pPr>
        <w:ind w:right="-2" w:firstLine="0"/>
        <w:jc w:val="center"/>
        <w:rPr>
          <w:rFonts w:ascii="仿宋" w:hAnsi="仿宋" w:eastAsia="仿宋"/>
          <w:b/>
          <w:color w:val="000000"/>
          <w:sz w:val="32"/>
          <w:lang w:eastAsia="zh-CN"/>
        </w:rPr>
      </w:pPr>
    </w:p>
    <w:p>
      <w:pPr>
        <w:ind w:right="-2" w:firstLine="0"/>
        <w:jc w:val="center"/>
        <w:rPr>
          <w:rFonts w:ascii="仿宋" w:hAnsi="仿宋" w:eastAsia="仿宋"/>
          <w:b/>
          <w:color w:val="000000"/>
          <w:sz w:val="32"/>
          <w:lang w:eastAsia="zh-CN"/>
        </w:rPr>
      </w:pPr>
    </w:p>
    <w:p>
      <w:pPr>
        <w:pStyle w:val="13"/>
        <w:ind w:right="-2"/>
        <w:jc w:val="center"/>
        <w:rPr>
          <w:rFonts w:ascii="仿宋" w:hAnsi="仿宋" w:eastAsia="仿宋"/>
          <w:b/>
          <w:color w:val="000000"/>
          <w:sz w:val="48"/>
          <w:szCs w:val="48"/>
          <w:lang w:eastAsia="zh-CN"/>
        </w:rPr>
      </w:pPr>
    </w:p>
    <w:p>
      <w:pPr>
        <w:pStyle w:val="13"/>
        <w:ind w:right="-2"/>
        <w:jc w:val="center"/>
        <w:rPr>
          <w:rFonts w:ascii="仿宋" w:hAnsi="仿宋" w:eastAsia="仿宋"/>
          <w:b/>
          <w:color w:val="000000"/>
          <w:sz w:val="48"/>
          <w:szCs w:val="48"/>
          <w:lang w:eastAsia="zh-CN"/>
        </w:rPr>
      </w:pPr>
    </w:p>
    <w:p>
      <w:pPr>
        <w:ind w:right="-2" w:firstLine="0"/>
        <w:jc w:val="center"/>
        <w:rPr>
          <w:rFonts w:ascii="仿宋" w:hAnsi="仿宋" w:eastAsia="仿宋"/>
          <w:color w:val="000000"/>
          <w:sz w:val="32"/>
          <w:lang w:eastAsia="zh-CN"/>
        </w:rPr>
      </w:pPr>
    </w:p>
    <w:p>
      <w:pPr>
        <w:ind w:right="-2" w:firstLine="0"/>
        <w:jc w:val="center"/>
        <w:rPr>
          <w:rFonts w:ascii="仿宋" w:hAnsi="仿宋" w:eastAsia="仿宋"/>
          <w:b/>
          <w:color w:val="000000"/>
          <w:sz w:val="32"/>
          <w:lang w:eastAsia="zh-CN"/>
        </w:rPr>
      </w:pPr>
    </w:p>
    <w:p>
      <w:pPr>
        <w:ind w:right="-2" w:firstLine="0"/>
        <w:jc w:val="center"/>
        <w:rPr>
          <w:rFonts w:ascii="仿宋" w:hAnsi="仿宋" w:eastAsia="仿宋"/>
          <w:color w:val="000000"/>
          <w:sz w:val="32"/>
          <w:lang w:eastAsia="zh-CN"/>
        </w:rPr>
      </w:pPr>
    </w:p>
    <w:p>
      <w:pPr>
        <w:ind w:right="-2" w:firstLine="0"/>
        <w:jc w:val="center"/>
        <w:rPr>
          <w:rFonts w:ascii="仿宋" w:hAnsi="仿宋" w:eastAsia="仿宋"/>
          <w:b/>
          <w:color w:val="000000"/>
          <w:sz w:val="32"/>
          <w:lang w:eastAsia="zh-CN"/>
        </w:rPr>
      </w:pPr>
    </w:p>
    <w:p>
      <w:pPr>
        <w:ind w:right="-2" w:firstLine="0"/>
        <w:jc w:val="center"/>
        <w:rPr>
          <w:rFonts w:ascii="仿宋" w:hAnsi="仿宋" w:eastAsia="仿宋"/>
          <w:b/>
          <w:color w:val="000000"/>
          <w:sz w:val="32"/>
          <w:lang w:eastAsia="zh-CN"/>
        </w:rPr>
      </w:pPr>
    </w:p>
    <w:p>
      <w:pPr>
        <w:ind w:right="-2" w:firstLine="0"/>
        <w:jc w:val="center"/>
        <w:rPr>
          <w:rFonts w:ascii="仿宋" w:hAnsi="仿宋" w:eastAsia="仿宋"/>
          <w:b/>
          <w:color w:val="000000"/>
          <w:sz w:val="32"/>
          <w:lang w:eastAsia="zh-CN"/>
        </w:rPr>
      </w:pPr>
    </w:p>
    <w:p>
      <w:pPr>
        <w:ind w:right="-2" w:firstLine="0"/>
        <w:jc w:val="center"/>
        <w:rPr>
          <w:rFonts w:ascii="仿宋" w:hAnsi="仿宋" w:eastAsia="仿宋"/>
          <w:b/>
          <w:color w:val="000000"/>
          <w:sz w:val="32"/>
          <w:lang w:eastAsia="zh-CN"/>
        </w:rPr>
      </w:pPr>
    </w:p>
    <w:p>
      <w:pPr>
        <w:ind w:right="-2" w:firstLine="0"/>
        <w:jc w:val="center"/>
        <w:rPr>
          <w:rFonts w:ascii="仿宋" w:hAnsi="仿宋" w:eastAsia="仿宋"/>
          <w:b/>
          <w:color w:val="000000"/>
          <w:sz w:val="32"/>
          <w:lang w:eastAsia="zh-CN"/>
        </w:rPr>
      </w:pPr>
    </w:p>
    <w:p>
      <w:pPr>
        <w:ind w:right="-2" w:firstLine="0"/>
        <w:jc w:val="center"/>
        <w:rPr>
          <w:rFonts w:ascii="仿宋" w:hAnsi="仿宋" w:eastAsia="仿宋"/>
          <w:b/>
          <w:color w:val="000000"/>
          <w:sz w:val="32"/>
          <w:lang w:eastAsia="zh-CN"/>
        </w:rPr>
      </w:pPr>
    </w:p>
    <w:p>
      <w:pPr>
        <w:ind w:right="-2" w:firstLine="0"/>
        <w:jc w:val="center"/>
        <w:rPr>
          <w:rFonts w:ascii="仿宋" w:hAnsi="仿宋" w:eastAsia="仿宋"/>
          <w:b/>
          <w:color w:val="000000"/>
          <w:sz w:val="32"/>
          <w:lang w:eastAsia="zh-CN"/>
        </w:rPr>
      </w:pPr>
    </w:p>
    <w:p>
      <w:pPr>
        <w:pStyle w:val="28"/>
        <w:rPr>
          <w:rFonts w:ascii="仿宋" w:hAnsi="仿宋" w:eastAsia="仿宋"/>
          <w:color w:val="000000"/>
          <w:lang w:eastAsia="zh-CN"/>
        </w:rPr>
      </w:pPr>
    </w:p>
    <w:p>
      <w:pPr>
        <w:pStyle w:val="28"/>
        <w:rPr>
          <w:rFonts w:ascii="仿宋" w:hAnsi="仿宋" w:eastAsia="仿宋"/>
          <w:color w:val="000000"/>
          <w:lang w:eastAsia="zh-CN"/>
        </w:rPr>
      </w:pPr>
    </w:p>
    <w:p>
      <w:pPr>
        <w:pStyle w:val="28"/>
        <w:rPr>
          <w:rFonts w:ascii="仿宋" w:hAnsi="仿宋" w:eastAsia="仿宋"/>
          <w:color w:val="000000"/>
          <w:lang w:eastAsia="zh-CN"/>
        </w:rPr>
      </w:pPr>
    </w:p>
    <w:p>
      <w:pPr>
        <w:pStyle w:val="28"/>
        <w:rPr>
          <w:rFonts w:ascii="仿宋" w:hAnsi="仿宋" w:eastAsia="仿宋"/>
          <w:color w:val="000000"/>
          <w:lang w:eastAsia="zh-CN"/>
        </w:rPr>
      </w:pPr>
    </w:p>
    <w:p>
      <w:pPr>
        <w:pStyle w:val="28"/>
        <w:rPr>
          <w:rFonts w:ascii="仿宋" w:hAnsi="仿宋" w:eastAsia="仿宋"/>
          <w:color w:val="000000"/>
          <w:lang w:eastAsia="zh-CN"/>
        </w:rPr>
      </w:pPr>
    </w:p>
    <w:p>
      <w:pPr>
        <w:pStyle w:val="28"/>
        <w:rPr>
          <w:rFonts w:ascii="仿宋" w:hAnsi="仿宋" w:eastAsia="仿宋"/>
          <w:color w:val="000000"/>
          <w:lang w:eastAsia="zh-CN"/>
        </w:rPr>
      </w:pPr>
    </w:p>
    <w:p>
      <w:pPr>
        <w:jc w:val="center"/>
        <w:rPr>
          <w:rFonts w:ascii="仿宋" w:hAnsi="仿宋" w:eastAsia="仿宋"/>
          <w:b/>
          <w:color w:val="000000"/>
          <w:sz w:val="32"/>
          <w:lang w:eastAsia="zh-CN"/>
        </w:rPr>
      </w:pPr>
      <w:r>
        <w:rPr>
          <w:rFonts w:hint="eastAsia" w:ascii="仿宋" w:hAnsi="仿宋" w:eastAsia="仿宋"/>
          <w:b/>
          <w:color w:val="000000"/>
          <w:sz w:val="32"/>
          <w:lang w:eastAsia="zh-CN"/>
        </w:rPr>
        <w:t>二○二四年</w:t>
      </w:r>
      <w:r>
        <w:rPr>
          <w:rFonts w:hint="eastAsia" w:ascii="仿宋" w:hAnsi="仿宋" w:eastAsia="仿宋"/>
          <w:b/>
          <w:color w:val="000000"/>
          <w:sz w:val="32"/>
          <w:lang w:val="en-US" w:eastAsia="zh-CN"/>
        </w:rPr>
        <w:t>五</w:t>
      </w:r>
      <w:r>
        <w:rPr>
          <w:rFonts w:hint="eastAsia" w:ascii="仿宋" w:hAnsi="仿宋" w:eastAsia="仿宋"/>
          <w:b/>
          <w:color w:val="000000"/>
          <w:sz w:val="32"/>
          <w:lang w:eastAsia="zh-CN"/>
        </w:rPr>
        <w:t>月</w:t>
      </w:r>
      <w:r>
        <w:rPr>
          <w:rFonts w:hint="eastAsia" w:ascii="仿宋" w:hAnsi="仿宋" w:eastAsia="仿宋"/>
          <w:b/>
          <w:color w:val="000000"/>
          <w:sz w:val="32"/>
          <w:lang w:val="en-US" w:eastAsia="zh-CN"/>
        </w:rPr>
        <w:t>二十三</w:t>
      </w:r>
      <w:r>
        <w:rPr>
          <w:rFonts w:hint="eastAsia" w:ascii="仿宋" w:hAnsi="仿宋" w:eastAsia="仿宋"/>
          <w:b/>
          <w:sz w:val="32"/>
          <w:lang w:eastAsia="zh-CN"/>
        </w:rPr>
        <w:t>日</w:t>
      </w:r>
    </w:p>
    <w:p>
      <w:pPr>
        <w:pStyle w:val="13"/>
        <w:spacing w:line="500" w:lineRule="exact"/>
        <w:rPr>
          <w:rFonts w:hint="eastAsia" w:ascii="宋体" w:hAnsi="宋体" w:eastAsia="宋体" w:cs="宋体"/>
          <w:sz w:val="28"/>
          <w:szCs w:val="28"/>
          <w:lang w:eastAsia="zh-CN"/>
        </w:rPr>
      </w:pPr>
    </w:p>
    <w:p>
      <w:pPr>
        <w:pStyle w:val="13"/>
        <w:spacing w:line="500" w:lineRule="exact"/>
        <w:rPr>
          <w:rFonts w:hint="eastAsia" w:ascii="宋体" w:hAnsi="宋体" w:eastAsia="宋体" w:cs="宋体"/>
          <w:sz w:val="28"/>
          <w:szCs w:val="28"/>
          <w:lang w:eastAsia="zh-CN"/>
        </w:rPr>
        <w:sectPr>
          <w:pgSz w:w="11907" w:h="16839"/>
          <w:pgMar w:top="1423" w:right="1414" w:bottom="1344" w:left="1428" w:header="0" w:footer="850" w:gutter="0"/>
          <w:cols w:space="0" w:num="1"/>
          <w:rtlGutter w:val="0"/>
          <w:docGrid w:linePitch="0" w:charSpace="0"/>
        </w:sectPr>
      </w:pPr>
    </w:p>
    <w:p>
      <w:pPr>
        <w:pStyle w:val="13"/>
        <w:spacing w:line="500" w:lineRule="exact"/>
        <w:rPr>
          <w:rFonts w:hint="eastAsia" w:ascii="宋体" w:hAnsi="宋体" w:eastAsia="宋体" w:cs="宋体"/>
          <w:sz w:val="28"/>
          <w:szCs w:val="28"/>
          <w:lang w:eastAsia="zh-CN"/>
        </w:rPr>
      </w:pPr>
    </w:p>
    <w:p>
      <w:pPr>
        <w:pStyle w:val="13"/>
        <w:spacing w:line="500" w:lineRule="exact"/>
        <w:rPr>
          <w:rFonts w:hint="eastAsia" w:ascii="宋体" w:hAnsi="宋体" w:eastAsia="宋体" w:cs="宋体"/>
          <w:sz w:val="28"/>
          <w:szCs w:val="28"/>
          <w:lang w:eastAsia="zh-CN"/>
        </w:rPr>
      </w:pPr>
    </w:p>
    <w:p>
      <w:pPr>
        <w:pStyle w:val="13"/>
        <w:spacing w:line="500" w:lineRule="exact"/>
        <w:rPr>
          <w:rFonts w:hint="default" w:ascii="宋体" w:hAnsi="宋体" w:eastAsia="宋体" w:cs="宋体"/>
          <w:color w:val="auto"/>
          <w:spacing w:val="1"/>
          <w:sz w:val="28"/>
          <w:szCs w:val="28"/>
          <w:lang w:val="en-US" w:eastAsia="zh-CN"/>
        </w:rPr>
      </w:pPr>
      <w:r>
        <w:rPr>
          <w:rFonts w:hint="eastAsia" w:ascii="宋体" w:hAnsi="宋体" w:eastAsia="宋体" w:cs="宋体"/>
          <w:sz w:val="28"/>
          <w:szCs w:val="28"/>
          <w:lang w:eastAsia="zh-CN"/>
        </w:rPr>
        <w:t>送审单位：</w:t>
      </w:r>
      <w:r>
        <w:rPr>
          <w:rFonts w:hint="eastAsia" w:ascii="宋体" w:hAnsi="宋体" w:eastAsia="宋体" w:cs="宋体"/>
          <w:color w:val="auto"/>
          <w:spacing w:val="1"/>
          <w:sz w:val="28"/>
          <w:szCs w:val="28"/>
          <w:lang w:val="en-US" w:eastAsia="zh-CN"/>
        </w:rPr>
        <w:t>新疆兴晟源建材有限公司</w:t>
      </w:r>
    </w:p>
    <w:p>
      <w:pPr>
        <w:pStyle w:val="13"/>
        <w:spacing w:line="500" w:lineRule="exact"/>
        <w:rPr>
          <w:rFonts w:hint="default" w:eastAsia="宋体"/>
          <w:color w:val="000000"/>
          <w:sz w:val="30"/>
          <w:szCs w:val="32"/>
          <w:u w:val="single"/>
          <w:lang w:val="en-US" w:eastAsia="zh-CN"/>
        </w:rPr>
      </w:pPr>
      <w:r>
        <w:rPr>
          <w:rFonts w:hint="eastAsia" w:ascii="宋体" w:hAnsi="宋体" w:eastAsia="宋体" w:cs="宋体"/>
          <w:sz w:val="28"/>
          <w:szCs w:val="28"/>
          <w:lang w:eastAsia="zh-CN"/>
        </w:rPr>
        <w:t>编制</w:t>
      </w:r>
      <w:r>
        <w:rPr>
          <w:rFonts w:hint="eastAsia" w:ascii="宋体" w:hAnsi="宋体" w:eastAsia="宋体" w:cs="宋体"/>
          <w:color w:val="auto"/>
          <w:spacing w:val="1"/>
          <w:sz w:val="28"/>
          <w:szCs w:val="28"/>
          <w:lang w:val="en-US" w:eastAsia="zh-CN"/>
        </w:rPr>
        <w:t>单位：新疆地质矿产勘查开发局第七地质大队</w:t>
      </w:r>
    </w:p>
    <w:p>
      <w:pPr>
        <w:pStyle w:val="13"/>
        <w:spacing w:line="500" w:lineRule="exact"/>
        <w:rPr>
          <w:rFonts w:hint="default" w:ascii="宋体" w:hAnsi="宋体" w:eastAsia="宋体" w:cs="宋体"/>
          <w:color w:val="auto"/>
          <w:spacing w:val="1"/>
          <w:sz w:val="28"/>
          <w:szCs w:val="28"/>
          <w:lang w:val="en-US" w:eastAsia="zh-CN"/>
        </w:rPr>
      </w:pPr>
      <w:r>
        <w:rPr>
          <w:rFonts w:hint="eastAsia" w:ascii="宋体" w:hAnsi="宋体" w:eastAsia="宋体" w:cs="宋体"/>
          <w:sz w:val="28"/>
          <w:szCs w:val="28"/>
          <w:lang w:eastAsia="zh-CN"/>
        </w:rPr>
        <w:t>项目负</w:t>
      </w:r>
      <w:r>
        <w:rPr>
          <w:rFonts w:hint="eastAsia" w:ascii="宋体" w:hAnsi="宋体" w:eastAsia="宋体" w:cs="宋体"/>
          <w:color w:val="auto"/>
          <w:spacing w:val="1"/>
          <w:sz w:val="28"/>
          <w:szCs w:val="28"/>
          <w:lang w:val="en-US" w:eastAsia="zh-CN"/>
        </w:rPr>
        <w:t>责人：栾新东</w:t>
      </w:r>
    </w:p>
    <w:p>
      <w:pPr>
        <w:pStyle w:val="13"/>
        <w:spacing w:line="500" w:lineRule="exact"/>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编制人员：杨波   王燕  孙方强</w:t>
      </w:r>
    </w:p>
    <w:p>
      <w:pPr>
        <w:pStyle w:val="13"/>
        <w:spacing w:line="500" w:lineRule="exact"/>
        <w:rPr>
          <w:rFonts w:hint="default"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评审专家组组长：王多生</w:t>
      </w:r>
    </w:p>
    <w:p>
      <w:pPr>
        <w:pStyle w:val="13"/>
        <w:spacing w:line="50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评审专家组成员：</w:t>
      </w:r>
      <w:r>
        <w:rPr>
          <w:rFonts w:hint="eastAsia" w:ascii="宋体" w:hAnsi="宋体" w:eastAsia="宋体" w:cs="宋体"/>
          <w:sz w:val="28"/>
          <w:szCs w:val="28"/>
          <w:lang w:val="en-US" w:eastAsia="zh-CN"/>
        </w:rPr>
        <w:t>姜  悦   林  涛   刘湘茹    陈红霞</w:t>
      </w:r>
      <w:r>
        <w:rPr>
          <w:rFonts w:hint="eastAsia" w:ascii="宋体" w:hAnsi="宋体" w:eastAsia="宋体" w:cs="宋体"/>
          <w:color w:val="000000" w:themeColor="text1"/>
          <w:sz w:val="28"/>
          <w:szCs w:val="28"/>
          <w:lang w:eastAsia="zh-CN"/>
          <w14:textFill>
            <w14:solidFill>
              <w14:schemeClr w14:val="tx1"/>
            </w14:solidFill>
          </w14:textFill>
        </w:rPr>
        <w:t xml:space="preserve">  </w:t>
      </w:r>
    </w:p>
    <w:p>
      <w:pPr>
        <w:pStyle w:val="13"/>
        <w:spacing w:line="500" w:lineRule="exact"/>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 xml:space="preserve">评审方式：函审 </w:t>
      </w:r>
    </w:p>
    <w:p>
      <w:pPr>
        <w:pStyle w:val="13"/>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评审时间：202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日</w:t>
      </w: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center"/>
        <w:rPr>
          <w:rFonts w:hint="eastAsia" w:ascii="宋体" w:hAnsi="宋体" w:eastAsia="宋体"/>
          <w:b/>
          <w:color w:val="auto"/>
          <w:sz w:val="30"/>
          <w:szCs w:val="30"/>
        </w:rPr>
      </w:pPr>
    </w:p>
    <w:p>
      <w:pPr>
        <w:spacing w:line="560" w:lineRule="exact"/>
        <w:jc w:val="both"/>
        <w:rPr>
          <w:rFonts w:hint="eastAsia" w:ascii="宋体" w:hAnsi="宋体" w:eastAsia="宋体"/>
          <w:b/>
          <w:color w:val="auto"/>
          <w:sz w:val="30"/>
          <w:szCs w:val="30"/>
        </w:rPr>
        <w:sectPr>
          <w:footerReference r:id="rId3" w:type="default"/>
          <w:pgSz w:w="11907" w:h="16839"/>
          <w:pgMar w:top="1423" w:right="1414" w:bottom="1344" w:left="1428" w:header="0" w:footer="850" w:gutter="0"/>
          <w:pgNumType w:start="1"/>
          <w:cols w:space="0" w:num="1"/>
          <w:rtlGutter w:val="0"/>
          <w:docGrid w:linePitch="0" w:charSpace="0"/>
        </w:sectPr>
      </w:pPr>
    </w:p>
    <w:p>
      <w:pPr>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附注：</w:t>
      </w:r>
    </w:p>
    <w:p>
      <w:pPr>
        <w:pStyle w:val="20"/>
        <w:numPr>
          <w:ilvl w:val="0"/>
          <w:numId w:val="2"/>
        </w:numPr>
        <w:spacing w:line="360" w:lineRule="auto"/>
        <w:ind w:firstLineChars="0"/>
        <w:jc w:val="both"/>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矿区范围拐点坐标表</w:t>
      </w:r>
    </w:p>
    <w:p>
      <w:pPr>
        <w:spacing w:before="156" w:beforeLines="50" w:line="240" w:lineRule="auto"/>
        <w:ind w:firstLine="0" w:firstLineChars="0"/>
        <w:jc w:val="center"/>
        <w:rPr>
          <w:rFonts w:hint="eastAsia" w:ascii="宋体" w:hAnsi="宋体"/>
          <w:b/>
          <w:bCs/>
          <w:sz w:val="24"/>
          <w:szCs w:val="24"/>
        </w:rPr>
      </w:pPr>
      <w:r>
        <w:rPr>
          <w:rFonts w:hint="eastAsia" w:ascii="宋体" w:hAnsi="宋体"/>
          <w:b/>
          <w:bCs/>
          <w:sz w:val="24"/>
          <w:szCs w:val="24"/>
        </w:rPr>
        <w:t>矿区范围拐点坐标表（CGCS2000坐标系）</w:t>
      </w:r>
    </w:p>
    <w:tbl>
      <w:tblPr>
        <w:tblStyle w:val="15"/>
        <w:tblW w:w="87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1859"/>
        <w:gridCol w:w="1909"/>
        <w:gridCol w:w="2016"/>
        <w:gridCol w:w="20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019" w:type="dxa"/>
            <w:vMerge w:val="restar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拐点</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903" w:type="dxa"/>
            <w:gridSpan w:val="2"/>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国家2000大地坐标系（3度带）</w:t>
            </w:r>
          </w:p>
        </w:tc>
        <w:tc>
          <w:tcPr>
            <w:tcW w:w="3817" w:type="dxa"/>
            <w:gridSpan w:val="2"/>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地理坐标（CGCS2000）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019"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jc w:val="center"/>
              <w:rPr>
                <w:rFonts w:hint="eastAsia" w:ascii="宋体" w:hAnsi="宋体" w:eastAsia="宋体" w:cs="宋体"/>
                <w:i w:val="0"/>
                <w:iCs w:val="0"/>
                <w:color w:val="000000"/>
                <w:sz w:val="24"/>
                <w:szCs w:val="24"/>
                <w:u w:val="none"/>
              </w:rPr>
            </w:pPr>
          </w:p>
        </w:tc>
        <w:tc>
          <w:tcPr>
            <w:tcW w:w="1932"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w:t>
            </w:r>
          </w:p>
        </w:tc>
        <w:tc>
          <w:tcPr>
            <w:tcW w:w="1971"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w:t>
            </w:r>
          </w:p>
        </w:tc>
        <w:tc>
          <w:tcPr>
            <w:tcW w:w="1934"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w:t>
            </w:r>
          </w:p>
        </w:tc>
        <w:tc>
          <w:tcPr>
            <w:tcW w:w="1883"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019"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3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lang w:val="en-US"/>
              </w:rPr>
            </w:pPr>
            <w:r>
              <w:rPr>
                <w:rFonts w:hint="eastAsia" w:ascii="宋体" w:hAnsi="宋体" w:eastAsia="宋体" w:cs="宋体"/>
                <w:kern w:val="0"/>
                <w:sz w:val="24"/>
                <w:szCs w:val="24"/>
              </w:rPr>
              <w:t>4930505.16</w:t>
            </w:r>
          </w:p>
        </w:tc>
        <w:tc>
          <w:tcPr>
            <w:tcW w:w="1971"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28490112.14</w:t>
            </w:r>
          </w:p>
        </w:tc>
        <w:tc>
          <w:tcPr>
            <w:tcW w:w="193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83°52′33.00″</w:t>
            </w:r>
          </w:p>
        </w:tc>
        <w:tc>
          <w:tcPr>
            <w:tcW w:w="1883"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44°30′38.87″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019"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3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4930502.66</w:t>
            </w:r>
          </w:p>
        </w:tc>
        <w:tc>
          <w:tcPr>
            <w:tcW w:w="1971"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28490422.14</w:t>
            </w:r>
          </w:p>
        </w:tc>
        <w:tc>
          <w:tcPr>
            <w:tcW w:w="193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83°52′56.33″</w:t>
            </w:r>
          </w:p>
        </w:tc>
        <w:tc>
          <w:tcPr>
            <w:tcW w:w="1883"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44°30′38.79″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019"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3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4930178.79</w:t>
            </w:r>
          </w:p>
        </w:tc>
        <w:tc>
          <w:tcPr>
            <w:tcW w:w="1971"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28490422.16</w:t>
            </w:r>
          </w:p>
        </w:tc>
        <w:tc>
          <w:tcPr>
            <w:tcW w:w="193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83°52′56.35″</w:t>
            </w:r>
          </w:p>
        </w:tc>
        <w:tc>
          <w:tcPr>
            <w:tcW w:w="1883"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44°30′28.30″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019"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3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4930178.79</w:t>
            </w:r>
          </w:p>
        </w:tc>
        <w:tc>
          <w:tcPr>
            <w:tcW w:w="1971"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28490491.53</w:t>
            </w:r>
          </w:p>
        </w:tc>
        <w:tc>
          <w:tcPr>
            <w:tcW w:w="193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83°52′59.49″</w:t>
            </w:r>
          </w:p>
        </w:tc>
        <w:tc>
          <w:tcPr>
            <w:tcW w:w="1883"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rPr>
              <w:t>44°30′28.30″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019"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93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4929625.48</w:t>
            </w:r>
          </w:p>
        </w:tc>
        <w:tc>
          <w:tcPr>
            <w:tcW w:w="1971"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28490491.53</w:t>
            </w:r>
          </w:p>
        </w:tc>
        <w:tc>
          <w:tcPr>
            <w:tcW w:w="193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83°52′59.52″</w:t>
            </w:r>
          </w:p>
        </w:tc>
        <w:tc>
          <w:tcPr>
            <w:tcW w:w="1883"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44°30′10.38″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019"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93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4929625.48</w:t>
            </w:r>
          </w:p>
        </w:tc>
        <w:tc>
          <w:tcPr>
            <w:tcW w:w="1971"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28490112.14</w:t>
            </w:r>
          </w:p>
        </w:tc>
        <w:tc>
          <w:tcPr>
            <w:tcW w:w="193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83°52′42.38″</w:t>
            </w:r>
          </w:p>
        </w:tc>
        <w:tc>
          <w:tcPr>
            <w:tcW w:w="1883"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rPr>
              <w:t>44°30′10.38″</w:t>
            </w:r>
          </w:p>
        </w:tc>
      </w:tr>
    </w:tbl>
    <w:p>
      <w:pPr>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w:t>
      </w:r>
      <w:r>
        <w:rPr>
          <w:rFonts w:hint="eastAsia" w:ascii="宋体" w:hAnsi="宋体" w:eastAsia="宋体" w:cs="宋体"/>
          <w:color w:val="000000"/>
          <w:sz w:val="28"/>
          <w:szCs w:val="28"/>
          <w:lang w:val="en-US" w:eastAsia="zh-CN"/>
        </w:rPr>
        <w:t>普查</w:t>
      </w:r>
      <w:r>
        <w:rPr>
          <w:rFonts w:hint="eastAsia" w:ascii="宋体" w:hAnsi="宋体" w:eastAsia="宋体" w:cs="宋体"/>
          <w:color w:val="000000"/>
          <w:sz w:val="28"/>
          <w:szCs w:val="28"/>
          <w:lang w:eastAsia="zh-CN"/>
        </w:rPr>
        <w:t>报告》资源量估算标高：</w:t>
      </w:r>
      <w:r>
        <w:rPr>
          <w:rFonts w:hint="eastAsia" w:ascii="宋体" w:hAnsi="宋体" w:eastAsia="宋体" w:cs="宋体"/>
          <w:kern w:val="2"/>
          <w:sz w:val="30"/>
          <w:szCs w:val="30"/>
          <w:lang w:val="zh-CN" w:eastAsia="zh-CN"/>
        </w:rPr>
        <w:t>465</w:t>
      </w:r>
      <w:r>
        <w:rPr>
          <w:rFonts w:hint="eastAsia" w:ascii="宋体" w:hAnsi="宋体" w:eastAsia="宋体" w:cs="宋体"/>
          <w:kern w:val="2"/>
          <w:sz w:val="30"/>
          <w:szCs w:val="30"/>
          <w:lang w:val="en-US" w:eastAsia="zh-CN"/>
        </w:rPr>
        <w:t>米</w:t>
      </w:r>
      <w:r>
        <w:rPr>
          <w:rFonts w:hint="eastAsia" w:ascii="宋体" w:hAnsi="宋体" w:eastAsia="宋体" w:cs="宋体"/>
          <w:kern w:val="2"/>
          <w:sz w:val="30"/>
          <w:szCs w:val="30"/>
          <w:lang w:val="zh-CN" w:eastAsia="zh-CN"/>
        </w:rPr>
        <w:t>～449.5</w:t>
      </w:r>
      <w:r>
        <w:rPr>
          <w:rFonts w:hint="eastAsia" w:ascii="宋体" w:hAnsi="宋体" w:eastAsia="宋体" w:cs="宋体"/>
          <w:kern w:val="2"/>
          <w:sz w:val="30"/>
          <w:szCs w:val="30"/>
          <w:lang w:val="en-US" w:eastAsia="zh-CN"/>
        </w:rPr>
        <w:t>米</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p>
      <w:pPr>
        <w:spacing w:line="50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3、</w:t>
      </w:r>
      <w:r>
        <w:rPr>
          <w:rFonts w:hint="eastAsia" w:ascii="宋体" w:hAnsi="宋体" w:eastAsia="宋体" w:cs="宋体"/>
          <w:sz w:val="28"/>
          <w:szCs w:val="28"/>
          <w:lang w:eastAsia="zh-CN"/>
        </w:rPr>
        <w:t>资源量估算最高标高：</w:t>
      </w:r>
      <w:r>
        <w:rPr>
          <w:rFonts w:hint="eastAsia" w:ascii="宋体" w:hAnsi="宋体" w:eastAsia="宋体" w:cs="宋体"/>
          <w:kern w:val="2"/>
          <w:sz w:val="30"/>
          <w:szCs w:val="30"/>
          <w:lang w:val="zh-CN" w:eastAsia="zh-CN"/>
        </w:rPr>
        <w:t>465</w:t>
      </w:r>
      <w:r>
        <w:rPr>
          <w:rFonts w:hint="eastAsia" w:ascii="宋体" w:hAnsi="宋体" w:eastAsia="宋体" w:cs="宋体"/>
          <w:sz w:val="28"/>
          <w:szCs w:val="28"/>
          <w:lang w:val="en-US" w:eastAsia="zh-CN"/>
        </w:rPr>
        <w:t>m</w:t>
      </w:r>
      <w:r>
        <w:rPr>
          <w:rFonts w:hint="eastAsia" w:ascii="宋体" w:hAnsi="宋体" w:eastAsia="宋体" w:cs="宋体"/>
          <w:sz w:val="28"/>
          <w:szCs w:val="28"/>
        </w:rPr>
        <w:t>。</w:t>
      </w:r>
    </w:p>
    <w:p>
      <w:pPr>
        <w:spacing w:line="500" w:lineRule="exact"/>
        <w:ind w:firstLine="560" w:firstLineChars="200"/>
        <w:jc w:val="both"/>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4、设计生产规模：</w:t>
      </w:r>
      <w:r>
        <w:rPr>
          <w:rFonts w:hint="eastAsia" w:ascii="宋体" w:hAnsi="宋体" w:eastAsia="宋体" w:cs="宋体"/>
          <w:color w:val="000000"/>
          <w:sz w:val="28"/>
          <w:szCs w:val="28"/>
          <w:lang w:val="en-US" w:eastAsia="zh-CN"/>
        </w:rPr>
        <w:t>60万立方米/年</w:t>
      </w:r>
      <w:r>
        <w:rPr>
          <w:rFonts w:hint="eastAsia" w:ascii="宋体" w:hAnsi="宋体" w:eastAsia="宋体" w:cs="宋体"/>
          <w:color w:val="000000"/>
          <w:sz w:val="28"/>
          <w:szCs w:val="28"/>
          <w:lang w:eastAsia="zh-CN"/>
        </w:rPr>
        <w:t>。</w:t>
      </w:r>
    </w:p>
    <w:p>
      <w:pPr>
        <w:spacing w:line="50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val="zh-CN" w:eastAsia="zh-CN"/>
        </w:rPr>
        <w:t>5、</w:t>
      </w:r>
      <w:r>
        <w:rPr>
          <w:rFonts w:hint="eastAsia" w:ascii="宋体" w:hAnsi="宋体" w:eastAsia="宋体" w:cs="宋体"/>
          <w:sz w:val="28"/>
          <w:szCs w:val="28"/>
          <w:lang w:eastAsia="zh-CN"/>
        </w:rPr>
        <w:t>开采</w:t>
      </w:r>
      <w:r>
        <w:rPr>
          <w:rFonts w:hint="eastAsia" w:ascii="宋体" w:hAnsi="宋体" w:eastAsia="宋体" w:cs="宋体"/>
          <w:sz w:val="28"/>
          <w:szCs w:val="28"/>
          <w:lang w:val="zh-CN" w:eastAsia="zh-CN"/>
        </w:rPr>
        <w:t>服务年限：</w:t>
      </w:r>
      <w:r>
        <w:rPr>
          <w:rFonts w:hint="eastAsia" w:ascii="宋体" w:hAnsi="宋体" w:eastAsia="宋体" w:cs="宋体"/>
          <w:sz w:val="28"/>
          <w:szCs w:val="28"/>
          <w:lang w:val="en-US" w:eastAsia="zh-CN"/>
        </w:rPr>
        <w:t xml:space="preserve">1.0年 </w:t>
      </w:r>
      <w:r>
        <w:rPr>
          <w:rFonts w:hint="eastAsia" w:ascii="宋体" w:hAnsi="宋体" w:eastAsia="宋体" w:cs="宋体"/>
          <w:sz w:val="28"/>
          <w:szCs w:val="28"/>
          <w:lang w:val="zh-CN" w:eastAsia="zh-CN"/>
        </w:rPr>
        <w:t>。</w:t>
      </w:r>
    </w:p>
    <w:p>
      <w:pPr>
        <w:spacing w:line="500" w:lineRule="exact"/>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6、开采方式与开拓方案：</w:t>
      </w:r>
      <w:r>
        <w:rPr>
          <w:rFonts w:hint="eastAsia" w:ascii="宋体" w:hAnsi="宋体" w:eastAsia="宋体" w:cs="宋体"/>
          <w:snapToGrid/>
          <w:kern w:val="2"/>
          <w:sz w:val="30"/>
          <w:szCs w:val="30"/>
        </w:rPr>
        <w:t>设计采用凹陷露天开采方式</w:t>
      </w:r>
      <w:r>
        <w:rPr>
          <w:rFonts w:hint="eastAsia" w:ascii="宋体" w:hAnsi="宋体" w:eastAsia="宋体" w:cs="宋体"/>
          <w:snapToGrid/>
          <w:kern w:val="2"/>
          <w:sz w:val="30"/>
          <w:szCs w:val="30"/>
          <w:lang w:eastAsia="zh-CN"/>
        </w:rPr>
        <w:t>，</w:t>
      </w:r>
      <w:r>
        <w:rPr>
          <w:rFonts w:hint="eastAsia" w:ascii="宋体" w:hAnsi="宋体" w:eastAsia="宋体"/>
          <w:snapToGrid/>
          <w:kern w:val="2"/>
          <w:sz w:val="30"/>
          <w:szCs w:val="30"/>
        </w:rPr>
        <w:t>设计</w:t>
      </w:r>
      <w:r>
        <w:rPr>
          <w:rFonts w:ascii="宋体" w:hAnsi="宋体" w:eastAsia="宋体"/>
          <w:snapToGrid/>
          <w:kern w:val="2"/>
          <w:sz w:val="30"/>
          <w:szCs w:val="30"/>
        </w:rPr>
        <w:t>采用公路开拓</w:t>
      </w:r>
      <w:r>
        <w:rPr>
          <w:rFonts w:hint="eastAsia" w:ascii="宋体" w:hAnsi="宋体" w:eastAsia="宋体"/>
          <w:snapToGrid/>
          <w:kern w:val="2"/>
          <w:sz w:val="30"/>
          <w:szCs w:val="30"/>
        </w:rPr>
        <w:t>-</w:t>
      </w:r>
      <w:r>
        <w:rPr>
          <w:rFonts w:ascii="宋体" w:hAnsi="宋体" w:eastAsia="宋体"/>
          <w:snapToGrid/>
          <w:kern w:val="2"/>
          <w:sz w:val="30"/>
          <w:szCs w:val="30"/>
        </w:rPr>
        <w:t>汽车运输方案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zh-CN" w:eastAsia="zh-CN"/>
        </w:rPr>
        <w:t>7、开采顺序：</w:t>
      </w:r>
      <w:r>
        <w:rPr>
          <w:rFonts w:hint="eastAsia" w:ascii="宋体" w:hAnsi="宋体" w:eastAsia="宋体" w:cs="宋体"/>
          <w:sz w:val="28"/>
          <w:szCs w:val="28"/>
          <w:lang w:val="en-US" w:eastAsia="zh-CN"/>
        </w:rPr>
        <w:t xml:space="preserve">一次采全高（2.0米） </w:t>
      </w:r>
      <w:r>
        <w:rPr>
          <w:rFonts w:hint="eastAsia" w:ascii="宋体" w:hAnsi="宋体" w:eastAsia="宋体" w:cs="宋体"/>
          <w:sz w:val="28"/>
          <w:szCs w:val="28"/>
          <w:lang w:val="zh-CN" w:eastAsia="zh-CN"/>
        </w:rPr>
        <w:t>。</w:t>
      </w:r>
    </w:p>
    <w:p>
      <w:pPr>
        <w:adjustRightInd w:val="0"/>
        <w:snapToGrid w:val="0"/>
        <w:spacing w:line="500" w:lineRule="exact"/>
        <w:ind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8、采矿方法：</w:t>
      </w:r>
      <w:r>
        <w:rPr>
          <w:rFonts w:hint="eastAsia" w:ascii="宋体" w:hAnsi="宋体" w:eastAsia="宋体"/>
          <w:snapToGrid/>
          <w:kern w:val="2"/>
          <w:sz w:val="30"/>
          <w:szCs w:val="30"/>
        </w:rPr>
        <w:t>设计采用自上而下</w:t>
      </w:r>
      <w:r>
        <w:rPr>
          <w:rFonts w:hint="eastAsia" w:ascii="宋体" w:hAnsi="宋体" w:eastAsia="宋体"/>
          <w:snapToGrid/>
          <w:kern w:val="2"/>
          <w:sz w:val="30"/>
          <w:szCs w:val="30"/>
          <w:lang w:val="en-US" w:eastAsia="zh-CN"/>
        </w:rPr>
        <w:t>缓倾斜一次采全高，</w:t>
      </w:r>
      <w:r>
        <w:rPr>
          <w:rFonts w:hint="eastAsia" w:ascii="宋体" w:hAnsi="宋体" w:eastAsia="宋体"/>
          <w:snapToGrid/>
          <w:kern w:val="2"/>
          <w:sz w:val="30"/>
          <w:szCs w:val="30"/>
        </w:rPr>
        <w:t>直接用挖掘机露天开采的采矿方法</w:t>
      </w:r>
      <w:r>
        <w:rPr>
          <w:rFonts w:hint="eastAsia" w:ascii="宋体" w:hAnsi="宋体" w:eastAsia="宋体" w:cs="宋体"/>
          <w:sz w:val="28"/>
          <w:szCs w:val="28"/>
          <w:lang w:val="zh-CN" w:eastAsia="zh-CN"/>
        </w:rPr>
        <w:t>。</w:t>
      </w:r>
    </w:p>
    <w:p>
      <w:pPr>
        <w:adjustRightInd w:val="0"/>
        <w:snapToGrid w:val="0"/>
        <w:spacing w:line="500" w:lineRule="exact"/>
        <w:ind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9、</w:t>
      </w:r>
      <w:r>
        <w:rPr>
          <w:rFonts w:hint="eastAsia" w:ascii="宋体" w:hAnsi="宋体" w:eastAsia="宋体" w:cs="宋体"/>
          <w:sz w:val="28"/>
          <w:szCs w:val="28"/>
          <w:lang w:eastAsia="zh-CN"/>
        </w:rPr>
        <w:t>开采工艺</w:t>
      </w:r>
      <w:r>
        <w:rPr>
          <w:rFonts w:hint="eastAsia" w:ascii="宋体" w:hAnsi="宋体" w:eastAsia="宋体" w:cs="宋体"/>
          <w:sz w:val="28"/>
          <w:szCs w:val="28"/>
          <w:lang w:val="zh-CN" w:eastAsia="zh-CN"/>
        </w:rPr>
        <w:t>流程：</w:t>
      </w:r>
      <w:r>
        <w:rPr>
          <w:rFonts w:hint="eastAsia" w:ascii="宋体" w:hAnsi="宋体" w:eastAsia="宋体" w:cs="宋体"/>
          <w:sz w:val="28"/>
          <w:szCs w:val="28"/>
          <w:lang w:val="en-US" w:eastAsia="zh-CN"/>
        </w:rPr>
        <w:t xml:space="preserve">采用挖掘机采掘→挖掘机铲装→自卸汽车运矿的采剥工艺 </w:t>
      </w:r>
      <w:r>
        <w:rPr>
          <w:rFonts w:hint="eastAsia" w:ascii="宋体" w:hAnsi="宋体" w:eastAsia="宋体" w:cs="宋体"/>
          <w:sz w:val="28"/>
          <w:szCs w:val="28"/>
          <w:lang w:val="zh-CN" w:eastAsia="zh-CN"/>
        </w:rPr>
        <w:t>。</w:t>
      </w:r>
    </w:p>
    <w:p>
      <w:pPr>
        <w:spacing w:line="500" w:lineRule="exact"/>
        <w:ind w:firstLine="560" w:firstLineChars="200"/>
        <w:jc w:val="both"/>
        <w:rPr>
          <w:rFonts w:hint="eastAsia" w:ascii="宋体" w:hAnsi="宋体" w:eastAsia="宋体" w:cs="宋体"/>
          <w:color w:val="000000"/>
          <w:sz w:val="28"/>
          <w:szCs w:val="28"/>
          <w:lang w:eastAsia="zh-CN"/>
        </w:rPr>
      </w:pPr>
    </w:p>
    <w:p>
      <w:pPr>
        <w:pStyle w:val="28"/>
        <w:spacing w:line="500" w:lineRule="exact"/>
        <w:ind w:firstLine="0"/>
        <w:rPr>
          <w:rFonts w:hint="eastAsia" w:ascii="宋体" w:hAnsi="宋体" w:eastAsia="宋体" w:cs="宋体"/>
          <w:sz w:val="28"/>
          <w:szCs w:val="28"/>
          <w:lang w:eastAsia="zh-CN"/>
        </w:rPr>
      </w:pPr>
    </w:p>
    <w:p>
      <w:pPr>
        <w:pStyle w:val="28"/>
        <w:spacing w:line="500" w:lineRule="exact"/>
        <w:ind w:firstLine="0"/>
        <w:rPr>
          <w:rFonts w:hint="eastAsia" w:ascii="宋体" w:hAnsi="宋体" w:eastAsia="宋体" w:cs="宋体"/>
          <w:sz w:val="28"/>
          <w:szCs w:val="28"/>
          <w:lang w:eastAsia="zh-CN"/>
        </w:rPr>
      </w:pPr>
    </w:p>
    <w:p>
      <w:pPr>
        <w:pStyle w:val="28"/>
        <w:spacing w:line="500" w:lineRule="exact"/>
        <w:ind w:firstLine="0"/>
        <w:rPr>
          <w:rFonts w:hint="eastAsia" w:ascii="宋体" w:hAnsi="宋体" w:eastAsia="宋体" w:cs="宋体"/>
          <w:sz w:val="28"/>
          <w:szCs w:val="28"/>
          <w:lang w:eastAsia="zh-CN"/>
        </w:rPr>
      </w:pPr>
    </w:p>
    <w:p>
      <w:pPr>
        <w:pStyle w:val="28"/>
        <w:spacing w:line="500" w:lineRule="exact"/>
        <w:ind w:firstLine="0"/>
        <w:rPr>
          <w:rFonts w:hint="eastAsia" w:ascii="宋体" w:hAnsi="宋体" w:eastAsia="宋体" w:cs="宋体"/>
          <w:sz w:val="28"/>
          <w:szCs w:val="28"/>
          <w:lang w:eastAsia="zh-CN"/>
        </w:rPr>
      </w:pPr>
    </w:p>
    <w:p>
      <w:pPr>
        <w:pStyle w:val="28"/>
        <w:spacing w:line="500" w:lineRule="exact"/>
        <w:ind w:firstLine="0"/>
        <w:rPr>
          <w:rFonts w:hint="eastAsia" w:ascii="宋体" w:hAnsi="宋体" w:eastAsia="宋体" w:cs="宋体"/>
          <w:sz w:val="28"/>
          <w:szCs w:val="28"/>
          <w:lang w:eastAsia="zh-CN"/>
        </w:rPr>
      </w:pPr>
    </w:p>
    <w:p>
      <w:pPr>
        <w:spacing w:line="500" w:lineRule="exact"/>
        <w:ind w:firstLine="560" w:firstLineChars="200"/>
        <w:jc w:val="both"/>
        <w:rPr>
          <w:rFonts w:hint="eastAsia" w:ascii="仿宋" w:hAnsi="仿宋" w:eastAsia="宋体"/>
          <w:color w:val="000000"/>
          <w:sz w:val="28"/>
          <w:szCs w:val="28"/>
          <w:lang w:eastAsia="zh-CN"/>
        </w:rPr>
      </w:pPr>
      <w:r>
        <w:rPr>
          <w:rFonts w:hint="eastAsia" w:ascii="宋体" w:hAnsi="宋体" w:eastAsia="宋体" w:cs="宋体"/>
          <w:color w:val="000000"/>
          <w:sz w:val="28"/>
          <w:szCs w:val="28"/>
          <w:lang w:eastAsia="zh-CN"/>
        </w:rPr>
        <w:t>附件：</w:t>
      </w:r>
      <w:r>
        <w:rPr>
          <w:rFonts w:hint="eastAsia" w:ascii="宋体" w:hAnsi="宋体" w:eastAsia="宋体"/>
          <w:b/>
          <w:color w:val="auto"/>
          <w:sz w:val="30"/>
          <w:szCs w:val="30"/>
        </w:rPr>
        <w:t>《</w:t>
      </w:r>
      <w:r>
        <w:rPr>
          <w:rFonts w:hint="eastAsia" w:ascii="宋体" w:hAnsi="宋体" w:eastAsia="宋体"/>
          <w:b/>
          <w:color w:val="auto"/>
          <w:sz w:val="30"/>
          <w:szCs w:val="30"/>
          <w:lang w:val="en-US" w:eastAsia="zh-CN"/>
        </w:rPr>
        <w:t>新疆兴晟源建材有限公司新疆乌苏市古尔图镇西南侧建筑用砂矿矿产资源开发利用与生态保护修复方案</w:t>
      </w:r>
      <w:r>
        <w:rPr>
          <w:rFonts w:hint="eastAsia" w:ascii="宋体" w:hAnsi="宋体" w:eastAsia="宋体"/>
          <w:b/>
          <w:color w:val="auto"/>
          <w:sz w:val="30"/>
          <w:szCs w:val="30"/>
        </w:rPr>
        <w:t>》专家审查意见</w:t>
      </w:r>
      <w:r>
        <w:rPr>
          <w:rFonts w:hint="eastAsia" w:ascii="宋体" w:hAnsi="宋体" w:eastAsia="宋体"/>
          <w:b/>
          <w:color w:val="auto"/>
          <w:sz w:val="30"/>
          <w:szCs w:val="30"/>
          <w:lang w:eastAsia="zh-CN"/>
        </w:rPr>
        <w:t>书</w:t>
      </w:r>
    </w:p>
    <w:p>
      <w:pPr>
        <w:spacing w:line="560" w:lineRule="exact"/>
        <w:jc w:val="center"/>
        <w:rPr>
          <w:rFonts w:hint="eastAsia" w:ascii="宋体" w:hAnsi="宋体" w:eastAsia="宋体" w:cs="宋体"/>
          <w:color w:val="auto"/>
          <w:spacing w:val="1"/>
          <w:sz w:val="28"/>
          <w:szCs w:val="28"/>
          <w:lang w:eastAsia="zh-CN"/>
        </w:rPr>
      </w:pPr>
      <w:r>
        <w:rPr>
          <w:rFonts w:hint="eastAsia" w:ascii="宋体" w:hAnsi="宋体" w:eastAsia="宋体"/>
          <w:b/>
          <w:color w:val="auto"/>
          <w:sz w:val="30"/>
          <w:szCs w:val="30"/>
        </w:rPr>
        <w:t>《</w:t>
      </w:r>
      <w:r>
        <w:rPr>
          <w:rFonts w:hint="eastAsia" w:ascii="宋体" w:hAnsi="宋体" w:eastAsia="宋体"/>
          <w:b/>
          <w:color w:val="auto"/>
          <w:sz w:val="30"/>
          <w:szCs w:val="30"/>
          <w:lang w:val="en-US" w:eastAsia="zh-CN"/>
        </w:rPr>
        <w:t>新疆兴晟源建材有限公司新疆乌苏市古尔图镇西南侧建筑用砂矿矿产资源开发利用与生态保护修复方案</w:t>
      </w:r>
      <w:r>
        <w:rPr>
          <w:rFonts w:hint="eastAsia" w:ascii="宋体" w:hAnsi="宋体" w:eastAsia="宋体"/>
          <w:b/>
          <w:color w:val="auto"/>
          <w:sz w:val="30"/>
          <w:szCs w:val="30"/>
        </w:rPr>
        <w:t>》专家审查意见</w:t>
      </w:r>
      <w:r>
        <w:rPr>
          <w:rFonts w:hint="eastAsia" w:ascii="宋体" w:hAnsi="宋体" w:eastAsia="宋体"/>
          <w:b/>
          <w:color w:val="auto"/>
          <w:sz w:val="30"/>
          <w:szCs w:val="30"/>
          <w:lang w:eastAsia="zh-CN"/>
        </w:rPr>
        <w:t>书</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564" w:firstLineChars="200"/>
        <w:jc w:val="both"/>
        <w:textAlignment w:val="baseline"/>
        <w:rPr>
          <w:rFonts w:ascii="宋体" w:hAnsi="宋体" w:eastAsia="宋体" w:cs="宋体"/>
          <w:color w:val="auto"/>
          <w:spacing w:val="1"/>
          <w:sz w:val="28"/>
          <w:szCs w:val="28"/>
        </w:rPr>
      </w:pPr>
      <w:r>
        <w:rPr>
          <w:rFonts w:hint="eastAsia" w:ascii="宋体" w:hAnsi="宋体" w:eastAsia="宋体" w:cs="宋体"/>
          <w:color w:val="auto"/>
          <w:spacing w:val="1"/>
          <w:sz w:val="28"/>
          <w:szCs w:val="28"/>
        </w:rPr>
        <w:t>受</w:t>
      </w:r>
      <w:r>
        <w:rPr>
          <w:rFonts w:hint="eastAsia" w:ascii="宋体" w:hAnsi="宋体" w:eastAsia="宋体" w:cs="宋体"/>
          <w:color w:val="auto"/>
          <w:spacing w:val="1"/>
          <w:sz w:val="28"/>
          <w:szCs w:val="28"/>
          <w:lang w:val="en-US" w:eastAsia="zh-CN"/>
        </w:rPr>
        <w:t>新疆兴晟源建材有限公司委托，由新疆地质矿产勘查开发局第七地质大队编</w:t>
      </w:r>
      <w:r>
        <w:rPr>
          <w:rFonts w:hint="eastAsia" w:ascii="宋体" w:hAnsi="宋体" w:eastAsia="宋体" w:cs="宋体"/>
          <w:color w:val="auto"/>
          <w:spacing w:val="1"/>
          <w:sz w:val="28"/>
          <w:szCs w:val="28"/>
        </w:rPr>
        <w:t>制</w:t>
      </w:r>
      <w:r>
        <w:rPr>
          <w:rFonts w:hint="eastAsia" w:ascii="宋体" w:hAnsi="宋体" w:eastAsia="宋体" w:cs="宋体"/>
          <w:color w:val="auto"/>
          <w:spacing w:val="1"/>
          <w:sz w:val="28"/>
          <w:szCs w:val="28"/>
          <w:lang w:val="en-US" w:eastAsia="zh-CN"/>
        </w:rPr>
        <w:t>的《新疆兴晟源建材有限公司新疆乌苏市古尔图镇西南侧建筑用砂矿矿产资源开发利用与生态保护修复方案》（以下简称</w:t>
      </w:r>
      <w:bookmarkStart w:id="0" w:name="_Hlk91835451"/>
      <w:r>
        <w:rPr>
          <w:rFonts w:hint="eastAsia" w:ascii="宋体" w:hAnsi="宋体" w:eastAsia="宋体" w:cs="宋体"/>
          <w:color w:val="auto"/>
          <w:spacing w:val="1"/>
          <w:sz w:val="28"/>
          <w:szCs w:val="28"/>
          <w:lang w:val="en-US" w:eastAsia="zh-CN"/>
        </w:rPr>
        <w:t>《</w:t>
      </w:r>
      <w:r>
        <w:rPr>
          <w:rFonts w:hint="eastAsia" w:ascii="宋体" w:hAnsi="宋体" w:eastAsia="宋体" w:cs="宋体"/>
          <w:color w:val="auto"/>
          <w:spacing w:val="1"/>
          <w:sz w:val="28"/>
          <w:szCs w:val="28"/>
        </w:rPr>
        <w:t>方案》</w:t>
      </w:r>
      <w:bookmarkEnd w:id="0"/>
      <w:r>
        <w:rPr>
          <w:rFonts w:hint="eastAsia" w:ascii="宋体" w:hAnsi="宋体" w:eastAsia="宋体" w:cs="宋体"/>
          <w:color w:val="auto"/>
          <w:spacing w:val="1"/>
          <w:sz w:val="28"/>
          <w:szCs w:val="28"/>
        </w:rPr>
        <w:t>）</w:t>
      </w:r>
      <w:bookmarkStart w:id="1" w:name="_Hlk44344406"/>
      <w:bookmarkStart w:id="2" w:name="_Hlk97042729"/>
      <w:r>
        <w:rPr>
          <w:rFonts w:hint="eastAsia" w:ascii="宋体" w:hAnsi="宋体" w:eastAsia="宋体" w:cs="宋体"/>
          <w:color w:val="auto"/>
          <w:spacing w:val="1"/>
          <w:sz w:val="28"/>
          <w:szCs w:val="28"/>
        </w:rPr>
        <w:t>于202</w:t>
      </w:r>
      <w:r>
        <w:rPr>
          <w:rFonts w:hint="eastAsia" w:ascii="宋体" w:hAnsi="宋体" w:eastAsia="宋体" w:cs="宋体"/>
          <w:color w:val="auto"/>
          <w:spacing w:val="1"/>
          <w:sz w:val="28"/>
          <w:szCs w:val="28"/>
          <w:lang w:val="en-US" w:eastAsia="zh-CN"/>
        </w:rPr>
        <w:t>4</w:t>
      </w:r>
      <w:r>
        <w:rPr>
          <w:rFonts w:hint="eastAsia" w:ascii="宋体" w:hAnsi="宋体" w:eastAsia="宋体" w:cs="宋体"/>
          <w:color w:val="auto"/>
          <w:spacing w:val="1"/>
          <w:sz w:val="28"/>
          <w:szCs w:val="28"/>
        </w:rPr>
        <w:t>年</w:t>
      </w:r>
      <w:r>
        <w:rPr>
          <w:rFonts w:hint="eastAsia" w:ascii="宋体" w:hAnsi="宋体" w:eastAsia="宋体" w:cs="宋体"/>
          <w:color w:val="auto"/>
          <w:spacing w:val="1"/>
          <w:sz w:val="28"/>
          <w:szCs w:val="28"/>
          <w:lang w:val="en-US" w:eastAsia="zh-CN"/>
        </w:rPr>
        <w:t>5</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12</w:t>
      </w:r>
      <w:r>
        <w:rPr>
          <w:rFonts w:hint="eastAsia" w:ascii="宋体" w:hAnsi="宋体" w:eastAsia="宋体" w:cs="宋体"/>
          <w:color w:val="auto"/>
          <w:spacing w:val="1"/>
          <w:sz w:val="28"/>
          <w:szCs w:val="28"/>
        </w:rPr>
        <w:t>日提交评审专家组。</w:t>
      </w:r>
      <w:bookmarkEnd w:id="1"/>
      <w:r>
        <w:rPr>
          <w:rFonts w:hint="eastAsia" w:ascii="宋体" w:hAnsi="宋体"/>
          <w:color w:val="auto"/>
          <w:sz w:val="28"/>
          <w:szCs w:val="28"/>
        </w:rPr>
        <w:t>有关专家</w:t>
      </w:r>
      <w:r>
        <w:rPr>
          <w:rFonts w:hint="eastAsia" w:ascii="宋体" w:hAnsi="宋体" w:eastAsia="宋体"/>
          <w:color w:val="auto"/>
          <w:sz w:val="28"/>
          <w:szCs w:val="28"/>
        </w:rPr>
        <w:t>采取函审方式</w:t>
      </w:r>
      <w:r>
        <w:rPr>
          <w:rFonts w:hint="eastAsia" w:ascii="宋体" w:hAnsi="宋体"/>
          <w:color w:val="auto"/>
          <w:sz w:val="28"/>
          <w:szCs w:val="28"/>
        </w:rPr>
        <w:t>对该《方案》</w:t>
      </w:r>
      <w:r>
        <w:rPr>
          <w:rFonts w:hint="eastAsia" w:ascii="宋体" w:hAnsi="宋体" w:eastAsia="宋体" w:cs="宋体"/>
          <w:color w:val="auto"/>
          <w:spacing w:val="1"/>
          <w:sz w:val="28"/>
          <w:szCs w:val="28"/>
        </w:rPr>
        <w:t>进行了审查，出具审查意见，编制单位根据专家意见进行了认真修改，经专家复核形成评审意见如下：</w:t>
      </w:r>
    </w:p>
    <w:bookmarkEnd w:id="2"/>
    <w:p>
      <w:pPr>
        <w:spacing w:line="560" w:lineRule="exact"/>
        <w:ind w:firstLine="538" w:firstLineChars="200"/>
        <w:jc w:val="both"/>
        <w:outlineLvl w:val="0"/>
        <w:rPr>
          <w:rFonts w:ascii="宋体" w:hAnsi="宋体" w:eastAsia="宋体" w:cs="宋体"/>
          <w:b/>
          <w:bCs/>
          <w:color w:val="auto"/>
          <w:spacing w:val="-3"/>
          <w:sz w:val="28"/>
          <w:szCs w:val="28"/>
        </w:rPr>
      </w:pPr>
      <w:r>
        <w:rPr>
          <w:rFonts w:hint="eastAsia" w:ascii="宋体" w:hAnsi="宋体" w:eastAsia="宋体" w:cs="宋体"/>
          <w:b/>
          <w:bCs/>
          <w:color w:val="auto"/>
          <w:spacing w:val="-6"/>
          <w:sz w:val="28"/>
          <w:szCs w:val="28"/>
        </w:rPr>
        <w:t>一、采矿权基本情况及编制目的</w:t>
      </w:r>
    </w:p>
    <w:p>
      <w:pPr>
        <w:spacing w:line="540" w:lineRule="exact"/>
        <w:ind w:firstLine="564" w:firstLineChars="200"/>
        <w:jc w:val="both"/>
        <w:rPr>
          <w:rFonts w:hint="eastAsia" w:ascii="宋体" w:hAnsi="宋体" w:eastAsia="宋体" w:cs="宋体"/>
          <w:kern w:val="2"/>
          <w:sz w:val="30"/>
          <w:szCs w:val="30"/>
          <w:lang w:val="en-US" w:eastAsia="zh-CN"/>
        </w:rPr>
      </w:pPr>
      <w:r>
        <w:rPr>
          <w:rFonts w:hint="eastAsia" w:ascii="宋体" w:hAnsi="宋体" w:eastAsia="宋体" w:cs="宋体"/>
          <w:color w:val="auto"/>
          <w:spacing w:val="1"/>
          <w:sz w:val="28"/>
          <w:szCs w:val="28"/>
          <w:lang w:val="zh-CN" w:eastAsia="zh-CN"/>
        </w:rPr>
        <w:t>该建筑用砂矿范围由</w:t>
      </w:r>
      <w:r>
        <w:rPr>
          <w:rFonts w:hint="eastAsia" w:ascii="宋体" w:hAnsi="宋体" w:eastAsia="宋体" w:cs="宋体"/>
          <w:color w:val="auto"/>
          <w:spacing w:val="1"/>
          <w:sz w:val="28"/>
          <w:szCs w:val="28"/>
          <w:lang w:val="en-US" w:eastAsia="zh-CN"/>
        </w:rPr>
        <w:t>乌苏市</w:t>
      </w:r>
      <w:r>
        <w:rPr>
          <w:rFonts w:hint="eastAsia" w:ascii="宋体" w:hAnsi="宋体" w:eastAsia="宋体" w:cs="宋体"/>
          <w:color w:val="auto"/>
          <w:spacing w:val="1"/>
          <w:sz w:val="28"/>
          <w:szCs w:val="28"/>
          <w:lang w:val="zh-CN" w:eastAsia="zh-CN"/>
        </w:rPr>
        <w:t>自治县自然资源局实地划定，拟设采矿许可面积为</w:t>
      </w:r>
      <w:r>
        <w:rPr>
          <w:rFonts w:hint="eastAsia" w:ascii="宋体" w:hAnsi="宋体" w:eastAsia="宋体" w:cs="宋体"/>
          <w:color w:val="auto"/>
          <w:spacing w:val="1"/>
          <w:sz w:val="28"/>
          <w:szCs w:val="28"/>
          <w:lang w:val="en-US" w:eastAsia="zh-CN"/>
        </w:rPr>
        <w:t>0.3107</w:t>
      </w:r>
      <w:r>
        <w:rPr>
          <w:rFonts w:hint="eastAsia" w:ascii="宋体" w:hAnsi="宋体" w:eastAsia="宋体" w:cs="宋体"/>
          <w:color w:val="auto"/>
          <w:spacing w:val="1"/>
          <w:sz w:val="28"/>
          <w:szCs w:val="28"/>
          <w:lang w:val="zh-CN" w:eastAsia="zh-CN"/>
        </w:rPr>
        <w:t>平方千米。本次由新疆</w:t>
      </w:r>
      <w:r>
        <w:rPr>
          <w:rFonts w:hint="eastAsia" w:ascii="宋体" w:hAnsi="宋体" w:eastAsia="宋体" w:cs="宋体"/>
          <w:color w:val="auto"/>
          <w:spacing w:val="1"/>
          <w:sz w:val="28"/>
          <w:szCs w:val="28"/>
          <w:lang w:val="en-US" w:eastAsia="zh-CN"/>
        </w:rPr>
        <w:t>乌苏市</w:t>
      </w:r>
      <w:r>
        <w:rPr>
          <w:rFonts w:hint="eastAsia" w:ascii="宋体" w:hAnsi="宋体" w:eastAsia="宋体" w:cs="宋体"/>
          <w:color w:val="auto"/>
          <w:spacing w:val="1"/>
          <w:sz w:val="28"/>
          <w:szCs w:val="28"/>
          <w:lang w:val="zh-CN" w:eastAsia="zh-CN"/>
        </w:rPr>
        <w:t>自然资源局和新疆地矿局第七地质大队技术人员实地核实，后由新疆地矿局第七地质大队测量分队完成地形测量。根据</w:t>
      </w:r>
      <w:r>
        <w:rPr>
          <w:rFonts w:hint="eastAsia" w:ascii="宋体" w:hAnsi="宋体" w:eastAsia="宋体" w:cs="宋体"/>
          <w:color w:val="auto"/>
          <w:spacing w:val="1"/>
          <w:sz w:val="28"/>
          <w:szCs w:val="28"/>
          <w:lang w:val="en-US" w:eastAsia="zh-CN"/>
        </w:rPr>
        <w:t>矿区</w:t>
      </w:r>
      <w:r>
        <w:rPr>
          <w:rFonts w:hint="eastAsia" w:ascii="宋体" w:hAnsi="宋体" w:eastAsia="宋体" w:cs="宋体"/>
          <w:color w:val="auto"/>
          <w:spacing w:val="1"/>
          <w:sz w:val="28"/>
          <w:szCs w:val="28"/>
          <w:lang w:val="zh-CN" w:eastAsia="zh-CN"/>
        </w:rPr>
        <w:t>坐标范围与矿产资源规划数据库叠加查询，该区块位于“新疆乌苏市“十四五”矿产资源规划集中开采区”范围内，属无矿权争议区。拟建采矿权名称为新疆乌苏市古尔图镇西南侧建筑用砂矿，矿体呈南北走向规则长条状，拟开采矿种为建筑用砂矿，开采方式为露天开采，生产规模为60万立方米/年，拟开采深度：标高由465～449.5米（矿体长约880米，宽约380米，地势总体呈南高、北低，整体坡度为2.6%）；平均采深2</w:t>
      </w:r>
      <w:r>
        <w:rPr>
          <w:rFonts w:hint="eastAsia" w:ascii="宋体" w:hAnsi="宋体" w:eastAsia="宋体" w:cs="宋体"/>
          <w:color w:val="auto"/>
          <w:spacing w:val="1"/>
          <w:sz w:val="28"/>
          <w:szCs w:val="28"/>
          <w:lang w:val="en-US" w:eastAsia="zh-CN"/>
        </w:rPr>
        <w:t>米（表1）。</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表 1      </w:t>
      </w:r>
      <w:r>
        <w:rPr>
          <w:rFonts w:hint="eastAsia" w:ascii="宋体" w:hAnsi="宋体" w:eastAsia="宋体" w:cs="宋体"/>
          <w:b/>
          <w:bCs/>
          <w:sz w:val="24"/>
          <w:szCs w:val="24"/>
          <w:lang w:val="en-US" w:eastAsia="zh-CN"/>
        </w:rPr>
        <w:t>矿区</w:t>
      </w:r>
      <w:r>
        <w:rPr>
          <w:rFonts w:hint="eastAsia" w:ascii="宋体" w:hAnsi="宋体" w:eastAsia="宋体" w:cs="宋体"/>
          <w:b/>
          <w:bCs/>
          <w:sz w:val="24"/>
          <w:szCs w:val="24"/>
        </w:rPr>
        <w:t>范围拐点坐标</w:t>
      </w:r>
    </w:p>
    <w:tbl>
      <w:tblPr>
        <w:tblStyle w:val="15"/>
        <w:tblW w:w="88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6"/>
        <w:gridCol w:w="1892"/>
        <w:gridCol w:w="1945"/>
        <w:gridCol w:w="2052"/>
        <w:gridCol w:w="20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956" w:type="dxa"/>
            <w:vMerge w:val="restart"/>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拐点</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3837" w:type="dxa"/>
            <w:gridSpan w:val="2"/>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国家2000大地坐标系（3度带）</w:t>
            </w:r>
          </w:p>
        </w:tc>
        <w:tc>
          <w:tcPr>
            <w:tcW w:w="4106" w:type="dxa"/>
            <w:gridSpan w:val="2"/>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地理坐标（CGCS2000）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4" w:hRule="atLeast"/>
          <w:jc w:val="center"/>
        </w:trPr>
        <w:tc>
          <w:tcPr>
            <w:tcW w:w="95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1892"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w:t>
            </w:r>
          </w:p>
        </w:tc>
        <w:tc>
          <w:tcPr>
            <w:tcW w:w="1945"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w:t>
            </w:r>
          </w:p>
        </w:tc>
        <w:tc>
          <w:tcPr>
            <w:tcW w:w="2052"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2054"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956"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9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lang w:val="en-US"/>
              </w:rPr>
            </w:pPr>
            <w:r>
              <w:rPr>
                <w:rFonts w:hint="eastAsia" w:ascii="宋体" w:hAnsi="宋体" w:eastAsia="宋体" w:cs="宋体"/>
                <w:kern w:val="0"/>
                <w:sz w:val="18"/>
                <w:szCs w:val="18"/>
              </w:rPr>
              <w:t>4930505.16</w:t>
            </w:r>
          </w:p>
        </w:tc>
        <w:tc>
          <w:tcPr>
            <w:tcW w:w="1945"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28490112.14</w:t>
            </w:r>
          </w:p>
        </w:tc>
        <w:tc>
          <w:tcPr>
            <w:tcW w:w="205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83°52′33.00″</w:t>
            </w:r>
          </w:p>
        </w:tc>
        <w:tc>
          <w:tcPr>
            <w:tcW w:w="205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44°30′38.87″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956"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9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4930502.66</w:t>
            </w:r>
          </w:p>
        </w:tc>
        <w:tc>
          <w:tcPr>
            <w:tcW w:w="1945"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28490422.14</w:t>
            </w:r>
          </w:p>
        </w:tc>
        <w:tc>
          <w:tcPr>
            <w:tcW w:w="205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83°52′56.33″</w:t>
            </w:r>
          </w:p>
        </w:tc>
        <w:tc>
          <w:tcPr>
            <w:tcW w:w="205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44°30′38.79″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956"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9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4930178.79</w:t>
            </w:r>
          </w:p>
        </w:tc>
        <w:tc>
          <w:tcPr>
            <w:tcW w:w="1945"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28490422.16</w:t>
            </w:r>
          </w:p>
        </w:tc>
        <w:tc>
          <w:tcPr>
            <w:tcW w:w="205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83°52′56.35″</w:t>
            </w:r>
          </w:p>
        </w:tc>
        <w:tc>
          <w:tcPr>
            <w:tcW w:w="205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44°30′28.30″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956"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9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4930178.79</w:t>
            </w:r>
          </w:p>
        </w:tc>
        <w:tc>
          <w:tcPr>
            <w:tcW w:w="1945"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28490491.53</w:t>
            </w:r>
          </w:p>
        </w:tc>
        <w:tc>
          <w:tcPr>
            <w:tcW w:w="205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83°52′59.49″</w:t>
            </w:r>
          </w:p>
        </w:tc>
        <w:tc>
          <w:tcPr>
            <w:tcW w:w="205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sz w:val="18"/>
                <w:szCs w:val="18"/>
                <w:u w:val="none"/>
              </w:rPr>
            </w:pPr>
            <w:r>
              <w:rPr>
                <w:rFonts w:hint="eastAsia" w:ascii="宋体" w:hAnsi="宋体" w:eastAsia="宋体" w:cs="宋体"/>
                <w:kern w:val="0"/>
                <w:sz w:val="18"/>
                <w:szCs w:val="18"/>
              </w:rPr>
              <w:t>44°30′28.30″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956"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89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4929625.48</w:t>
            </w:r>
          </w:p>
        </w:tc>
        <w:tc>
          <w:tcPr>
            <w:tcW w:w="1945"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28490491.53</w:t>
            </w:r>
          </w:p>
        </w:tc>
        <w:tc>
          <w:tcPr>
            <w:tcW w:w="205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83°52′59.52″</w:t>
            </w:r>
          </w:p>
        </w:tc>
        <w:tc>
          <w:tcPr>
            <w:tcW w:w="205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44°30′10.38″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956" w:type="dxa"/>
            <w:tcBorders>
              <w:tl2br w:val="nil"/>
              <w:tr2bl w:val="nil"/>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89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4929625.48</w:t>
            </w:r>
          </w:p>
        </w:tc>
        <w:tc>
          <w:tcPr>
            <w:tcW w:w="1945"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28490112.14</w:t>
            </w:r>
          </w:p>
        </w:tc>
        <w:tc>
          <w:tcPr>
            <w:tcW w:w="2052"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83°52′42.38″</w:t>
            </w:r>
          </w:p>
        </w:tc>
        <w:tc>
          <w:tcPr>
            <w:tcW w:w="2054" w:type="dxa"/>
            <w:tcBorders>
              <w:tl2br w:val="nil"/>
              <w:tr2bl w:val="nil"/>
            </w:tcBorders>
            <w:noWrap w:val="0"/>
            <w:vAlign w:val="center"/>
          </w:tcPr>
          <w:p>
            <w:pPr>
              <w:widowControl/>
              <w:shd w:val="clear" w:color="auto" w:fill="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kern w:val="0"/>
                <w:sz w:val="18"/>
                <w:szCs w:val="18"/>
              </w:rPr>
              <w:t>44°30′10.38″</w:t>
            </w:r>
          </w:p>
        </w:tc>
      </w:tr>
    </w:tbl>
    <w:p>
      <w:pPr>
        <w:spacing w:line="56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为办理采矿许可证提供技术依据；为本矿山的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w:t>
      </w:r>
      <w:bookmarkStart w:id="3" w:name="_Hlk150433157"/>
      <w:r>
        <w:rPr>
          <w:rFonts w:hint="eastAsia" w:ascii="宋体" w:hAnsi="宋体" w:eastAsia="宋体" w:cs="宋体"/>
          <w:color w:val="auto"/>
          <w:sz w:val="28"/>
          <w:szCs w:val="28"/>
          <w:lang w:val="en-US" w:eastAsia="zh-CN"/>
        </w:rPr>
        <w:t>矿山地质环境治理恢复基金</w:t>
      </w:r>
      <w:bookmarkEnd w:id="3"/>
      <w:r>
        <w:rPr>
          <w:rFonts w:hint="eastAsia" w:ascii="宋体" w:hAnsi="宋体" w:eastAsia="宋体" w:cs="宋体"/>
          <w:color w:val="auto"/>
          <w:sz w:val="28"/>
          <w:szCs w:val="28"/>
          <w:lang w:val="en-US" w:eastAsia="zh-CN"/>
        </w:rPr>
        <w:t>的计提等提供依据，为自然资源管理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r>
        <w:rPr>
          <w:rFonts w:hint="eastAsia" w:ascii="宋体" w:hAnsi="宋体" w:eastAsia="宋体" w:cs="宋体"/>
          <w:color w:val="auto"/>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22" w:firstLineChars="200"/>
        <w:jc w:val="both"/>
        <w:textAlignment w:val="baseline"/>
        <w:outlineLvl w:val="0"/>
        <w:rPr>
          <w:rFonts w:ascii="宋体" w:hAnsi="宋体" w:eastAsia="宋体" w:cs="宋体"/>
          <w:b/>
          <w:bCs/>
          <w:color w:val="auto"/>
          <w:spacing w:val="-2"/>
          <w:sz w:val="28"/>
          <w:szCs w:val="28"/>
        </w:rPr>
      </w:pPr>
      <w:r>
        <w:rPr>
          <w:rFonts w:hint="eastAsia" w:ascii="宋体" w:hAnsi="宋体" w:eastAsia="宋体" w:cs="宋体"/>
          <w:b/>
          <w:bCs/>
          <w:color w:val="auto"/>
          <w:spacing w:val="-10"/>
          <w:sz w:val="28"/>
          <w:szCs w:val="28"/>
        </w:rPr>
        <w:t>二、设计利用资</w:t>
      </w:r>
      <w:r>
        <w:rPr>
          <w:rFonts w:hint="eastAsia" w:ascii="宋体" w:hAnsi="宋体" w:eastAsia="宋体" w:cs="宋体"/>
          <w:b/>
          <w:bCs/>
          <w:color w:val="auto"/>
          <w:spacing w:val="-2"/>
          <w:sz w:val="28"/>
          <w:szCs w:val="28"/>
        </w:rPr>
        <w:t>源储量政策符合性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bookmarkStart w:id="4" w:name="_Hlk91836993"/>
      <w:r>
        <w:rPr>
          <w:rFonts w:hint="eastAsia" w:ascii="宋体" w:hAnsi="宋体" w:eastAsia="宋体" w:cs="宋体"/>
          <w:color w:val="auto"/>
          <w:sz w:val="28"/>
          <w:szCs w:val="28"/>
        </w:rPr>
        <w:t>《方案》</w:t>
      </w:r>
      <w:bookmarkEnd w:id="4"/>
      <w:r>
        <w:rPr>
          <w:rFonts w:hint="eastAsia" w:ascii="宋体" w:hAnsi="宋体" w:eastAsia="宋体" w:cs="宋体"/>
          <w:color w:val="auto"/>
          <w:spacing w:val="-10"/>
          <w:sz w:val="28"/>
          <w:szCs w:val="28"/>
        </w:rPr>
        <w:t>资源储量类型确定合理，设计利用资</w:t>
      </w:r>
      <w:r>
        <w:rPr>
          <w:rFonts w:hint="eastAsia" w:ascii="宋体" w:hAnsi="宋体" w:eastAsia="宋体" w:cs="宋体"/>
          <w:color w:val="auto"/>
          <w:spacing w:val="-2"/>
          <w:sz w:val="28"/>
          <w:szCs w:val="28"/>
        </w:rPr>
        <w:t>源储量、可采储量的确定符合自治区自然资源厅相关政策要求。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22" w:firstLineChars="200"/>
        <w:jc w:val="both"/>
        <w:textAlignment w:val="baseline"/>
        <w:outlineLvl w:val="0"/>
        <w:rPr>
          <w:rFonts w:ascii="宋体" w:hAnsi="宋体" w:eastAsia="宋体" w:cs="宋体"/>
          <w:b/>
          <w:bCs/>
          <w:color w:val="auto"/>
          <w:spacing w:val="-10"/>
          <w:sz w:val="28"/>
          <w:szCs w:val="28"/>
        </w:rPr>
      </w:pPr>
      <w:r>
        <w:rPr>
          <w:rFonts w:hint="eastAsia" w:ascii="宋体" w:hAnsi="宋体" w:eastAsia="宋体" w:cs="宋体"/>
          <w:b/>
          <w:bCs/>
          <w:color w:val="auto"/>
          <w:spacing w:val="-10"/>
          <w:sz w:val="28"/>
          <w:szCs w:val="28"/>
        </w:rPr>
        <w:t>三、设计利用储量、设计开采规模及服务年限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20" w:firstLineChars="200"/>
        <w:textAlignment w:val="baseline"/>
        <w:rPr>
          <w:rFonts w:hint="default" w:ascii="宋体" w:hAnsi="宋体" w:eastAsia="宋体"/>
          <w:color w:val="auto"/>
          <w:sz w:val="28"/>
          <w:szCs w:val="28"/>
          <w:lang w:val="en-US"/>
        </w:rPr>
      </w:pPr>
      <w:r>
        <w:rPr>
          <w:rFonts w:hint="eastAsia" w:ascii="宋体" w:hAnsi="宋体" w:eastAsia="宋体" w:cs="宋体"/>
          <w:color w:val="auto"/>
          <w:spacing w:val="-10"/>
          <w:sz w:val="28"/>
          <w:szCs w:val="28"/>
        </w:rPr>
        <w:t>根据《</w:t>
      </w:r>
      <w:r>
        <w:rPr>
          <w:rFonts w:hint="eastAsia" w:ascii="宋体" w:hAnsi="宋体" w:eastAsia="宋体" w:cs="宋体"/>
          <w:color w:val="auto"/>
          <w:spacing w:val="-10"/>
          <w:sz w:val="28"/>
          <w:szCs w:val="28"/>
          <w:lang w:val="en-US" w:eastAsia="zh-CN"/>
        </w:rPr>
        <w:t>新疆乌苏市古尔图镇西南侧建筑用砂矿普查报告</w:t>
      </w:r>
      <w:r>
        <w:rPr>
          <w:rFonts w:hint="eastAsia" w:ascii="宋体" w:hAnsi="宋体" w:eastAsia="宋体" w:cs="宋体"/>
          <w:color w:val="auto"/>
          <w:spacing w:val="-10"/>
          <w:sz w:val="28"/>
          <w:szCs w:val="28"/>
        </w:rPr>
        <w:t>》的评审意见书，评审通过</w:t>
      </w:r>
      <w:r>
        <w:rPr>
          <w:rFonts w:hint="eastAsia" w:ascii="宋体" w:hAnsi="宋体" w:eastAsia="宋体" w:cs="宋体"/>
          <w:color w:val="auto"/>
          <w:spacing w:val="-10"/>
          <w:sz w:val="28"/>
          <w:szCs w:val="28"/>
          <w:lang w:val="en-US" w:eastAsia="zh-CN"/>
        </w:rPr>
        <w:t>矿区</w:t>
      </w:r>
      <w:r>
        <w:rPr>
          <w:rFonts w:hint="eastAsia" w:ascii="宋体" w:hAnsi="宋体" w:eastAsia="宋体" w:cs="宋体"/>
          <w:color w:val="auto"/>
          <w:spacing w:val="-10"/>
          <w:sz w:val="28"/>
          <w:szCs w:val="28"/>
        </w:rPr>
        <w:t>范围内保有推断资源量：矿石量61.5</w:t>
      </w:r>
      <w:r>
        <w:rPr>
          <w:rFonts w:hint="eastAsia" w:ascii="宋体" w:hAnsi="宋体" w:eastAsia="宋体" w:cs="宋体"/>
          <w:color w:val="auto"/>
          <w:spacing w:val="-10"/>
          <w:sz w:val="28"/>
          <w:szCs w:val="28"/>
          <w:lang w:val="en-US" w:eastAsia="zh-CN"/>
        </w:rPr>
        <w:t>0</w:t>
      </w:r>
      <w:r>
        <w:rPr>
          <w:rFonts w:hint="eastAsia" w:ascii="宋体" w:hAnsi="宋体" w:eastAsia="宋体" w:cs="宋体"/>
          <w:color w:val="auto"/>
          <w:spacing w:val="-10"/>
          <w:sz w:val="28"/>
          <w:szCs w:val="28"/>
        </w:rPr>
        <w:t>万立方米。本次</w:t>
      </w:r>
      <w:r>
        <w:rPr>
          <w:rFonts w:hint="eastAsia" w:ascii="宋体" w:hAnsi="宋体" w:eastAsia="宋体" w:cs="宋体"/>
          <w:color w:val="auto"/>
          <w:spacing w:val="-10"/>
          <w:sz w:val="28"/>
          <w:szCs w:val="28"/>
          <w:lang w:val="en-US" w:eastAsia="zh-CN"/>
        </w:rPr>
        <w:t>方案设计露天采矿场境界范围内共圈定资源量61.50万立方米，设计利用率100.00%，设计服务年限为1.0年</w:t>
      </w:r>
      <w:r>
        <w:rPr>
          <w:rFonts w:hint="eastAsia" w:ascii="宋体" w:hAnsi="宋体" w:eastAsia="宋体" w:cs="宋体"/>
          <w:color w:val="000000"/>
          <w:spacing w:val="-4"/>
          <w:sz w:val="30"/>
          <w:szCs w:val="30"/>
          <w:lang w:val="en-US" w:eastAsia="zh-CN"/>
        </w:rPr>
        <w:t>。</w:t>
      </w:r>
    </w:p>
    <w:p>
      <w:pPr>
        <w:spacing w:line="560" w:lineRule="exact"/>
        <w:ind w:firstLine="562" w:firstLineChars="200"/>
        <w:jc w:val="both"/>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四、采矿方案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hint="eastAsia" w:ascii="宋体" w:hAnsi="宋体" w:eastAsia="宋体" w:cs="宋体"/>
          <w:color w:val="auto"/>
          <w:sz w:val="28"/>
          <w:szCs w:val="28"/>
        </w:rPr>
        <w:t>采矿方法：根据矿体赋存特征及地形条件，设计矿山采用公路开拓、汽车运输方案，</w:t>
      </w:r>
      <w:r>
        <w:rPr>
          <w:rFonts w:hint="eastAsia" w:ascii="宋体" w:hAnsi="宋体" w:eastAsia="宋体" w:cs="宋体"/>
          <w:color w:val="auto"/>
          <w:sz w:val="28"/>
          <w:szCs w:val="28"/>
          <w:lang w:val="en-US" w:eastAsia="zh-CN"/>
        </w:rPr>
        <w:t>凹陷</w:t>
      </w:r>
      <w:r>
        <w:rPr>
          <w:rFonts w:hint="eastAsia" w:ascii="宋体" w:hAnsi="宋体" w:eastAsia="宋体" w:cs="宋体"/>
          <w:color w:val="auto"/>
          <w:sz w:val="28"/>
          <w:szCs w:val="28"/>
        </w:rPr>
        <w:t>露天开采方式，设计采用</w:t>
      </w:r>
      <w:r>
        <w:rPr>
          <w:rFonts w:hint="eastAsia" w:ascii="宋体" w:hAnsi="宋体" w:eastAsia="宋体" w:cs="宋体"/>
          <w:color w:val="auto"/>
          <w:sz w:val="28"/>
          <w:szCs w:val="28"/>
          <w:lang w:val="en-US" w:eastAsia="zh-CN"/>
        </w:rPr>
        <w:t>缓倾斜一次采全高的</w:t>
      </w:r>
      <w:r>
        <w:rPr>
          <w:rFonts w:hint="eastAsia" w:ascii="宋体" w:hAnsi="宋体" w:eastAsia="宋体" w:cs="宋体"/>
          <w:color w:val="auto"/>
          <w:sz w:val="28"/>
          <w:szCs w:val="28"/>
        </w:rPr>
        <w:t>采矿方法。采矿回采率9</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hint="eastAsia" w:ascii="宋体" w:hAnsi="宋体" w:eastAsia="宋体" w:cs="宋体"/>
          <w:color w:val="auto"/>
          <w:sz w:val="28"/>
          <w:szCs w:val="28"/>
        </w:rPr>
        <w:t>加工工艺流程：原矿仓→给料机→带式输送机→振动筛→带式输送机→圆锥破碎机→带式输送机→滚筒筛筛分→带式输送机→洗砂机→带式输送机→成品堆场→装载机装入自卸汽车外运。开拓运输方案：采用公路开拓汽车运输方案。</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矿山在实际采选开发生产建设活动中，要以正式设计单位编制并审核通过的采选等设计为准执行。</w:t>
      </w:r>
    </w:p>
    <w:p>
      <w:pPr>
        <w:spacing w:line="560" w:lineRule="exact"/>
        <w:ind w:firstLine="558" w:firstLineChars="200"/>
        <w:jc w:val="both"/>
        <w:outlineLvl w:val="0"/>
        <w:rPr>
          <w:rFonts w:ascii="宋体" w:hAnsi="宋体" w:eastAsia="宋体" w:cs="宋体"/>
          <w:b/>
          <w:bCs/>
          <w:color w:val="auto"/>
          <w:spacing w:val="-1"/>
          <w:sz w:val="28"/>
          <w:szCs w:val="28"/>
        </w:rPr>
      </w:pPr>
      <w:r>
        <w:rPr>
          <w:rFonts w:hint="eastAsia" w:ascii="宋体" w:hAnsi="宋体" w:eastAsia="宋体" w:cs="宋体"/>
          <w:b/>
          <w:bCs/>
          <w:color w:val="auto"/>
          <w:spacing w:val="-1"/>
          <w:sz w:val="28"/>
          <w:szCs w:val="28"/>
        </w:rPr>
        <w:t>五、产品方案</w:t>
      </w:r>
    </w:p>
    <w:p>
      <w:pPr>
        <w:spacing w:line="56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推荐产品方案为矿石粒径</w:t>
      </w:r>
      <w:r>
        <w:rPr>
          <w:rFonts w:hint="eastAsia" w:ascii="宋体" w:hAnsi="宋体" w:eastAsia="宋体" w:cs="宋体"/>
          <w:color w:val="auto"/>
          <w:sz w:val="28"/>
          <w:szCs w:val="28"/>
          <w:lang w:val="en-US" w:eastAsia="zh-CN"/>
        </w:rPr>
        <w:t>0.075毫米～2毫米的水洗砂和2毫米～150毫米</w:t>
      </w:r>
      <w:r>
        <w:rPr>
          <w:rFonts w:hint="eastAsia" w:ascii="宋体" w:hAnsi="宋体" w:eastAsia="宋体" w:cs="宋体"/>
          <w:color w:val="auto"/>
          <w:sz w:val="28"/>
          <w:szCs w:val="28"/>
        </w:rPr>
        <w:t xml:space="preserve">的砂石料。 </w:t>
      </w:r>
    </w:p>
    <w:p>
      <w:pPr>
        <w:spacing w:line="560" w:lineRule="exact"/>
        <w:ind w:firstLine="550" w:firstLineChars="200"/>
        <w:jc w:val="both"/>
        <w:outlineLvl w:val="0"/>
        <w:rPr>
          <w:rFonts w:ascii="宋体" w:hAnsi="宋体" w:eastAsia="宋体" w:cs="宋体"/>
          <w:b/>
          <w:bCs/>
          <w:color w:val="auto"/>
          <w:spacing w:val="-1"/>
          <w:sz w:val="28"/>
          <w:szCs w:val="28"/>
        </w:rPr>
      </w:pPr>
      <w:r>
        <w:rPr>
          <w:rFonts w:hint="eastAsia" w:ascii="宋体" w:hAnsi="宋体" w:eastAsia="宋体" w:cs="宋体"/>
          <w:b/>
          <w:bCs/>
          <w:color w:val="auto"/>
          <w:spacing w:val="-3"/>
          <w:sz w:val="28"/>
          <w:szCs w:val="28"/>
        </w:rPr>
        <w:t>六、</w:t>
      </w:r>
      <w:r>
        <w:rPr>
          <w:rFonts w:hint="eastAsia" w:ascii="宋体" w:hAnsi="宋体" w:eastAsia="宋体" w:cs="宋体"/>
          <w:b/>
          <w:bCs/>
          <w:color w:val="auto"/>
          <w:spacing w:val="-4"/>
          <w:sz w:val="28"/>
          <w:szCs w:val="28"/>
        </w:rPr>
        <w:t>绿色矿山建设</w:t>
      </w:r>
    </w:p>
    <w:p>
      <w:pPr>
        <w:spacing w:line="56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zh-CN"/>
        </w:rPr>
        <w:t>根据《非金属矿行业绿色矿山建设规范》（DZ/T0312-2018）以及《建筑石料、石材矿绿色矿山建设规范》（DB41/T1665-2018），建筑石料露天开采回采率不小于95%。该矿设计采用露天开采方式，采矿回采率</w:t>
      </w:r>
      <w:r>
        <w:rPr>
          <w:rFonts w:hint="eastAsia" w:ascii="宋体" w:hAnsi="宋体" w:eastAsia="宋体" w:cs="宋体"/>
          <w:color w:val="auto"/>
          <w:sz w:val="28"/>
          <w:szCs w:val="28"/>
          <w:lang w:val="en-US" w:eastAsia="zh-CN"/>
        </w:rPr>
        <w:t>98</w:t>
      </w:r>
      <w:r>
        <w:rPr>
          <w:rFonts w:hint="eastAsia" w:ascii="宋体" w:hAnsi="宋体" w:eastAsia="宋体" w:cs="宋体"/>
          <w:color w:val="auto"/>
          <w:sz w:val="28"/>
          <w:szCs w:val="28"/>
          <w:lang w:val="zh-CN"/>
        </w:rPr>
        <w:t>%，满足指标要求</w:t>
      </w:r>
      <w:r>
        <w:rPr>
          <w:rFonts w:hint="eastAsia" w:ascii="宋体" w:hAnsi="宋体" w:eastAsia="宋体" w:cs="宋体"/>
          <w:color w:val="auto"/>
          <w:sz w:val="28"/>
          <w:szCs w:val="28"/>
        </w:rPr>
        <w:t>：</w:t>
      </w:r>
    </w:p>
    <w:p>
      <w:pPr>
        <w:spacing w:line="560" w:lineRule="exact"/>
        <w:ind w:firstLine="544" w:firstLineChars="200"/>
        <w:jc w:val="both"/>
        <w:rPr>
          <w:rFonts w:ascii="宋体" w:hAnsi="宋体" w:eastAsia="宋体" w:cs="宋体"/>
          <w:color w:val="auto"/>
          <w:spacing w:val="-4"/>
          <w:sz w:val="28"/>
          <w:szCs w:val="28"/>
        </w:rPr>
      </w:pPr>
      <w:r>
        <w:rPr>
          <w:rFonts w:hint="eastAsia" w:ascii="宋体" w:hAnsi="宋体" w:eastAsia="宋体" w:cs="宋体"/>
          <w:color w:val="auto"/>
          <w:spacing w:val="-4"/>
          <w:sz w:val="28"/>
          <w:szCs w:val="28"/>
        </w:rPr>
        <w:t>1、开采回采率</w:t>
      </w:r>
    </w:p>
    <w:p>
      <w:pPr>
        <w:spacing w:line="560" w:lineRule="exact"/>
        <w:ind w:firstLine="544" w:firstLineChars="200"/>
        <w:jc w:val="both"/>
        <w:rPr>
          <w:rFonts w:ascii="宋体" w:hAnsi="宋体" w:eastAsia="宋体" w:cs="宋体"/>
          <w:color w:val="auto"/>
          <w:spacing w:val="-4"/>
          <w:sz w:val="28"/>
          <w:szCs w:val="28"/>
        </w:rPr>
      </w:pPr>
      <w:r>
        <w:rPr>
          <w:rFonts w:hint="eastAsia" w:ascii="宋体" w:hAnsi="宋体" w:eastAsia="宋体" w:cs="宋体"/>
          <w:color w:val="auto"/>
          <w:spacing w:val="-4"/>
          <w:sz w:val="28"/>
          <w:szCs w:val="28"/>
        </w:rPr>
        <w:t>本矿设计回采率</w:t>
      </w:r>
      <w:r>
        <w:rPr>
          <w:rFonts w:ascii="宋体" w:hAnsi="宋体" w:eastAsia="宋体" w:cs="宋体"/>
          <w:color w:val="auto"/>
          <w:spacing w:val="-4"/>
          <w:sz w:val="28"/>
          <w:szCs w:val="28"/>
        </w:rPr>
        <w:t>9</w:t>
      </w:r>
      <w:r>
        <w:rPr>
          <w:rFonts w:hint="eastAsia" w:ascii="宋体" w:hAnsi="宋体" w:eastAsia="宋体" w:cs="宋体"/>
          <w:color w:val="auto"/>
          <w:spacing w:val="-4"/>
          <w:sz w:val="28"/>
          <w:szCs w:val="28"/>
          <w:lang w:val="en-US" w:eastAsia="zh-CN"/>
        </w:rPr>
        <w:t>8</w:t>
      </w:r>
      <w:r>
        <w:rPr>
          <w:rFonts w:ascii="宋体" w:hAnsi="宋体" w:eastAsia="宋体" w:cs="宋体"/>
          <w:color w:val="auto"/>
          <w:spacing w:val="-4"/>
          <w:sz w:val="28"/>
          <w:szCs w:val="28"/>
        </w:rPr>
        <w:t>%</w:t>
      </w:r>
      <w:r>
        <w:rPr>
          <w:rFonts w:hint="eastAsia" w:ascii="宋体" w:hAnsi="宋体" w:eastAsia="宋体" w:cs="宋体"/>
          <w:color w:val="auto"/>
          <w:spacing w:val="-4"/>
          <w:sz w:val="28"/>
          <w:szCs w:val="28"/>
        </w:rPr>
        <w:t>，符合《公告》中对建筑</w:t>
      </w:r>
      <w:r>
        <w:rPr>
          <w:rFonts w:hint="eastAsia" w:ascii="宋体" w:hAnsi="宋体" w:eastAsia="宋体" w:cs="宋体"/>
          <w:color w:val="auto"/>
          <w:spacing w:val="-4"/>
          <w:sz w:val="28"/>
          <w:szCs w:val="28"/>
          <w:lang w:val="en-US" w:eastAsia="zh-CN"/>
        </w:rPr>
        <w:t>用砂</w:t>
      </w:r>
      <w:r>
        <w:rPr>
          <w:rFonts w:hint="eastAsia" w:ascii="宋体" w:hAnsi="宋体" w:eastAsia="宋体" w:cs="宋体"/>
          <w:color w:val="auto"/>
          <w:spacing w:val="-4"/>
          <w:sz w:val="28"/>
          <w:szCs w:val="28"/>
        </w:rPr>
        <w:t>露天开采回采率不低于</w:t>
      </w:r>
      <w:r>
        <w:rPr>
          <w:rFonts w:ascii="宋体" w:hAnsi="宋体" w:eastAsia="宋体" w:cs="宋体"/>
          <w:color w:val="auto"/>
          <w:spacing w:val="-4"/>
          <w:sz w:val="28"/>
          <w:szCs w:val="28"/>
        </w:rPr>
        <w:t>90%</w:t>
      </w:r>
      <w:r>
        <w:rPr>
          <w:rFonts w:hint="eastAsia" w:ascii="宋体" w:hAnsi="宋体" w:eastAsia="宋体" w:cs="宋体"/>
          <w:color w:val="auto"/>
          <w:spacing w:val="-4"/>
          <w:sz w:val="28"/>
          <w:szCs w:val="28"/>
        </w:rPr>
        <w:t>要求。</w:t>
      </w:r>
    </w:p>
    <w:p>
      <w:pPr>
        <w:spacing w:line="560" w:lineRule="exact"/>
        <w:ind w:firstLine="544" w:firstLineChars="200"/>
        <w:jc w:val="both"/>
        <w:rPr>
          <w:rFonts w:ascii="宋体" w:hAnsi="宋体" w:eastAsia="宋体" w:cs="宋体"/>
          <w:color w:val="auto"/>
          <w:spacing w:val="-4"/>
          <w:sz w:val="28"/>
          <w:szCs w:val="28"/>
        </w:rPr>
      </w:pPr>
      <w:r>
        <w:rPr>
          <w:rFonts w:ascii="宋体" w:hAnsi="宋体" w:eastAsia="宋体" w:cs="宋体"/>
          <w:color w:val="auto"/>
          <w:spacing w:val="-4"/>
          <w:sz w:val="28"/>
          <w:szCs w:val="28"/>
        </w:rPr>
        <w:t>2</w:t>
      </w:r>
      <w:r>
        <w:rPr>
          <w:rFonts w:hint="eastAsia" w:ascii="宋体" w:hAnsi="宋体" w:eastAsia="宋体" w:cs="宋体"/>
          <w:color w:val="auto"/>
          <w:spacing w:val="-4"/>
          <w:sz w:val="28"/>
          <w:szCs w:val="28"/>
        </w:rPr>
        <w:t>、伴生资源利用</w:t>
      </w:r>
    </w:p>
    <w:p>
      <w:pPr>
        <w:spacing w:line="560" w:lineRule="exact"/>
        <w:ind w:firstLine="544" w:firstLineChars="200"/>
        <w:jc w:val="both"/>
        <w:rPr>
          <w:rFonts w:ascii="宋体" w:hAnsi="宋体" w:eastAsia="宋体" w:cs="宋体"/>
          <w:color w:val="auto"/>
          <w:spacing w:val="-4"/>
          <w:sz w:val="28"/>
          <w:szCs w:val="28"/>
        </w:rPr>
      </w:pPr>
      <w:r>
        <w:rPr>
          <w:rFonts w:hint="eastAsia" w:ascii="宋体" w:hAnsi="宋体" w:eastAsia="宋体" w:cs="宋体"/>
          <w:color w:val="auto"/>
          <w:spacing w:val="-4"/>
          <w:sz w:val="28"/>
          <w:szCs w:val="28"/>
        </w:rPr>
        <w:t>项目矿石为建筑用</w:t>
      </w:r>
      <w:r>
        <w:rPr>
          <w:rFonts w:hint="eastAsia" w:ascii="宋体" w:hAnsi="宋体" w:eastAsia="宋体" w:cs="宋体"/>
          <w:color w:val="auto"/>
          <w:spacing w:val="-4"/>
          <w:sz w:val="28"/>
          <w:szCs w:val="28"/>
          <w:lang w:val="en-US" w:eastAsia="zh-CN"/>
        </w:rPr>
        <w:t>砂</w:t>
      </w:r>
      <w:r>
        <w:rPr>
          <w:rFonts w:hint="eastAsia" w:ascii="宋体" w:hAnsi="宋体" w:eastAsia="宋体" w:cs="宋体"/>
          <w:color w:val="auto"/>
          <w:spacing w:val="-4"/>
          <w:sz w:val="28"/>
          <w:szCs w:val="28"/>
        </w:rPr>
        <w:t>矿，无其它伴生有益组分，设计不再考虑，符合《公告》要求。</w:t>
      </w:r>
    </w:p>
    <w:p>
      <w:pPr>
        <w:spacing w:line="560" w:lineRule="exact"/>
        <w:ind w:firstLine="544" w:firstLineChars="200"/>
        <w:jc w:val="both"/>
        <w:rPr>
          <w:rFonts w:ascii="宋体" w:hAnsi="宋体" w:eastAsia="宋体" w:cs="宋体"/>
          <w:color w:val="auto"/>
          <w:spacing w:val="-4"/>
          <w:sz w:val="28"/>
          <w:szCs w:val="28"/>
        </w:rPr>
      </w:pPr>
      <w:r>
        <w:rPr>
          <w:rFonts w:ascii="宋体" w:hAnsi="宋体" w:eastAsia="宋体" w:cs="宋体"/>
          <w:color w:val="auto"/>
          <w:spacing w:val="-4"/>
          <w:sz w:val="28"/>
          <w:szCs w:val="28"/>
        </w:rPr>
        <w:t>3</w:t>
      </w:r>
      <w:r>
        <w:rPr>
          <w:rFonts w:hint="eastAsia" w:ascii="宋体" w:hAnsi="宋体" w:eastAsia="宋体" w:cs="宋体"/>
          <w:color w:val="auto"/>
          <w:spacing w:val="-4"/>
          <w:sz w:val="28"/>
          <w:szCs w:val="28"/>
        </w:rPr>
        <w:t>、固体废弃物利用</w:t>
      </w:r>
    </w:p>
    <w:p>
      <w:pPr>
        <w:spacing w:line="560" w:lineRule="exact"/>
        <w:ind w:firstLine="544" w:firstLineChars="200"/>
        <w:jc w:val="both"/>
        <w:rPr>
          <w:rFonts w:ascii="宋体" w:hAnsi="宋体" w:eastAsia="宋体" w:cs="宋体"/>
          <w:color w:val="auto"/>
          <w:spacing w:val="-4"/>
          <w:sz w:val="28"/>
          <w:szCs w:val="28"/>
        </w:rPr>
      </w:pPr>
      <w:r>
        <w:rPr>
          <w:rFonts w:hint="eastAsia" w:ascii="宋体" w:hAnsi="宋体" w:eastAsia="宋体" w:cs="宋体"/>
          <w:color w:val="auto"/>
          <w:spacing w:val="-4"/>
          <w:sz w:val="28"/>
          <w:szCs w:val="28"/>
        </w:rPr>
        <w:t>矿山开采产生的废石全部回填于采坑，废石处置率100%，符合《公告》废石综合利用率≥</w:t>
      </w:r>
      <w:r>
        <w:rPr>
          <w:rFonts w:hint="eastAsia" w:ascii="宋体" w:hAnsi="宋体" w:eastAsia="宋体" w:cs="宋体"/>
          <w:color w:val="auto"/>
          <w:spacing w:val="-4"/>
          <w:sz w:val="28"/>
          <w:szCs w:val="28"/>
          <w:lang w:val="en-US" w:eastAsia="zh-CN"/>
        </w:rPr>
        <w:t>90</w:t>
      </w:r>
      <w:r>
        <w:rPr>
          <w:rFonts w:hint="eastAsia" w:ascii="宋体" w:hAnsi="宋体" w:eastAsia="宋体" w:cs="宋体"/>
          <w:color w:val="auto"/>
          <w:spacing w:val="-4"/>
          <w:sz w:val="28"/>
          <w:szCs w:val="28"/>
        </w:rPr>
        <w:t>％的要求。</w:t>
      </w:r>
    </w:p>
    <w:p>
      <w:pPr>
        <w:spacing w:line="560" w:lineRule="exact"/>
        <w:ind w:firstLine="544" w:firstLineChars="200"/>
        <w:jc w:val="both"/>
        <w:rPr>
          <w:rFonts w:ascii="宋体" w:hAnsi="宋体" w:eastAsia="宋体" w:cs="宋体"/>
          <w:color w:val="auto"/>
          <w:spacing w:val="-4"/>
          <w:sz w:val="28"/>
          <w:szCs w:val="28"/>
        </w:rPr>
      </w:pPr>
      <w:r>
        <w:rPr>
          <w:rFonts w:hint="eastAsia" w:ascii="宋体" w:hAnsi="宋体" w:eastAsia="宋体" w:cs="宋体"/>
          <w:color w:val="auto"/>
          <w:spacing w:val="-4"/>
          <w:sz w:val="28"/>
          <w:szCs w:val="28"/>
        </w:rPr>
        <w:t>依据《非金属矿行业绿色矿山建设规范》（DZ/T0312-2018）要求。本矿山设计满足规范要求。</w:t>
      </w:r>
    </w:p>
    <w:p>
      <w:pPr>
        <w:spacing w:line="560" w:lineRule="exact"/>
        <w:ind w:firstLine="546" w:firstLineChars="200"/>
        <w:jc w:val="both"/>
        <w:outlineLvl w:val="0"/>
        <w:rPr>
          <w:rFonts w:ascii="宋体" w:hAnsi="宋体" w:eastAsia="宋体" w:cs="宋体"/>
          <w:b/>
          <w:bCs/>
          <w:color w:val="auto"/>
          <w:spacing w:val="-2"/>
          <w:sz w:val="28"/>
          <w:szCs w:val="28"/>
        </w:rPr>
      </w:pPr>
      <w:r>
        <w:rPr>
          <w:rFonts w:hint="eastAsia" w:ascii="宋体" w:hAnsi="宋体" w:eastAsia="宋体" w:cs="宋体"/>
          <w:b/>
          <w:bCs/>
          <w:color w:val="auto"/>
          <w:spacing w:val="-4"/>
          <w:sz w:val="28"/>
          <w:szCs w:val="28"/>
        </w:rPr>
        <w:t>七、矿区地质环境</w:t>
      </w:r>
      <w:bookmarkStart w:id="5" w:name="_Hlk91925963"/>
      <w:r>
        <w:rPr>
          <w:rFonts w:hint="eastAsia" w:ascii="宋体" w:hAnsi="宋体" w:eastAsia="宋体" w:cs="宋体"/>
          <w:b/>
          <w:bCs/>
          <w:color w:val="auto"/>
          <w:spacing w:val="-4"/>
          <w:sz w:val="28"/>
          <w:szCs w:val="28"/>
        </w:rPr>
        <w:t>治</w:t>
      </w:r>
      <w:r>
        <w:rPr>
          <w:rFonts w:hint="eastAsia" w:ascii="宋体" w:hAnsi="宋体" w:eastAsia="宋体" w:cs="宋体"/>
          <w:b/>
          <w:bCs/>
          <w:color w:val="auto"/>
          <w:spacing w:val="-11"/>
          <w:sz w:val="28"/>
          <w:szCs w:val="28"/>
        </w:rPr>
        <w:t>理恢复</w:t>
      </w:r>
      <w:bookmarkEnd w:id="5"/>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hint="eastAsia" w:ascii="宋体" w:hAnsi="宋体" w:eastAsia="宋体" w:cs="宋体"/>
          <w:color w:val="auto"/>
          <w:sz w:val="28"/>
          <w:szCs w:val="28"/>
        </w:rPr>
        <w:t>（一）本次工作查明了矿山环境现状，分析了矿山环境发展趋势，其论述内容基本全面，结论基本正确。</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hint="eastAsia" w:ascii="宋体" w:hAnsi="宋体" w:eastAsia="宋体" w:cs="宋体"/>
          <w:color w:val="auto"/>
          <w:sz w:val="28"/>
          <w:szCs w:val="28"/>
        </w:rPr>
        <w:t>（二）确定评估级别为</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级，评估区面积</w:t>
      </w:r>
      <w:r>
        <w:rPr>
          <w:rFonts w:hint="eastAsia" w:ascii="宋体" w:hAnsi="宋体" w:eastAsia="宋体" w:cs="宋体"/>
          <w:color w:val="auto"/>
          <w:sz w:val="28"/>
          <w:szCs w:val="28"/>
          <w:lang w:val="en-US" w:eastAsia="zh-CN"/>
        </w:rPr>
        <w:t>0.36</w:t>
      </w:r>
      <w:r>
        <w:rPr>
          <w:rFonts w:hint="eastAsia" w:ascii="宋体" w:hAnsi="宋体" w:eastAsia="宋体" w:cs="宋体"/>
          <w:color w:val="auto"/>
          <w:sz w:val="28"/>
          <w:szCs w:val="28"/>
        </w:rPr>
        <w:t>平方千米（</w:t>
      </w:r>
      <w:r>
        <w:rPr>
          <w:rFonts w:hint="eastAsia" w:ascii="宋体" w:hAnsi="宋体" w:eastAsia="宋体" w:cs="宋体"/>
          <w:color w:val="auto"/>
          <w:sz w:val="28"/>
          <w:szCs w:val="28"/>
          <w:lang w:val="en-US" w:eastAsia="zh-CN"/>
        </w:rPr>
        <w:t>36</w:t>
      </w:r>
      <w:r>
        <w:rPr>
          <w:rFonts w:hint="eastAsia" w:ascii="宋体" w:hAnsi="宋体" w:eastAsia="宋体" w:cs="宋体"/>
          <w:color w:val="auto"/>
          <w:sz w:val="28"/>
          <w:szCs w:val="28"/>
        </w:rPr>
        <w:t>公顷），评估等级划分正确，评估范围确定合理。</w:t>
      </w:r>
    </w:p>
    <w:p>
      <w:pPr>
        <w:spacing w:line="560" w:lineRule="exact"/>
        <w:ind w:firstLine="560" w:firstLineChars="200"/>
        <w:jc w:val="both"/>
        <w:rPr>
          <w:rFonts w:ascii="宋体" w:hAnsi="宋体" w:eastAsia="宋体" w:cs="宋体"/>
          <w:color w:val="0000FF"/>
          <w:sz w:val="28"/>
          <w:szCs w:val="28"/>
        </w:rPr>
      </w:pPr>
      <w:r>
        <w:rPr>
          <w:rFonts w:hint="eastAsia" w:ascii="宋体" w:hAnsi="宋体" w:eastAsia="宋体" w:cs="宋体"/>
          <w:color w:val="auto"/>
          <w:sz w:val="28"/>
          <w:szCs w:val="28"/>
        </w:rPr>
        <w:t>（三）对矿山地质环境影响进行了现状分析评估，经评估，现状条件下评估区内崩塌、滑坡、泥石流、地面塌陷、地面沉降、地裂缝和不稳定斜坡地质不发育，危害程度小，危险性小，对矿山地质环境的影响程度“较轻”；对含水层破坏程度“较轻”；现状评估对地形地貌景观的影响为</w:t>
      </w:r>
      <w:r>
        <w:rPr>
          <w:rFonts w:hint="eastAsia" w:ascii="宋体" w:hAnsi="宋体" w:eastAsia="宋体" w:cs="宋体"/>
          <w:color w:val="auto"/>
          <w:sz w:val="28"/>
          <w:szCs w:val="28"/>
          <w:lang w:val="en-US" w:eastAsia="zh-CN"/>
        </w:rPr>
        <w:t>较轻</w:t>
      </w:r>
      <w:r>
        <w:rPr>
          <w:rFonts w:hint="eastAsia" w:ascii="宋体" w:hAnsi="宋体" w:eastAsia="宋体" w:cs="宋体"/>
          <w:color w:val="auto"/>
          <w:sz w:val="28"/>
          <w:szCs w:val="28"/>
        </w:rPr>
        <w:t>；现状评估矿山开采对水土环境的影响程度为“较轻”，对大气污染的影响程度“较轻”。矿山地质环境影响现状评估划分为较轻区，评估区总面积</w:t>
      </w:r>
      <w:r>
        <w:rPr>
          <w:rFonts w:hint="eastAsia" w:ascii="宋体" w:hAnsi="宋体" w:eastAsia="宋体" w:cs="宋体"/>
          <w:color w:val="auto"/>
          <w:sz w:val="28"/>
          <w:szCs w:val="28"/>
          <w:lang w:val="en-US" w:eastAsia="zh-CN"/>
        </w:rPr>
        <w:t>36.00</w:t>
      </w:r>
      <w:r>
        <w:rPr>
          <w:rFonts w:hint="eastAsia" w:ascii="宋体" w:hAnsi="宋体" w:eastAsia="宋体" w:cs="宋体"/>
          <w:color w:val="auto"/>
          <w:sz w:val="28"/>
          <w:szCs w:val="28"/>
        </w:rPr>
        <w:t>公顷；较轻区：面积</w:t>
      </w:r>
      <w:r>
        <w:rPr>
          <w:rFonts w:hint="eastAsia" w:ascii="宋体" w:hAnsi="宋体" w:eastAsia="宋体" w:cs="宋体"/>
          <w:color w:val="auto"/>
          <w:sz w:val="28"/>
          <w:szCs w:val="28"/>
          <w:lang w:val="en-US" w:eastAsia="zh-CN"/>
        </w:rPr>
        <w:t>36.00</w:t>
      </w:r>
      <w:r>
        <w:rPr>
          <w:rFonts w:hint="eastAsia" w:ascii="宋体" w:hAnsi="宋体" w:eastAsia="宋体" w:cs="宋体"/>
          <w:color w:val="auto"/>
          <w:sz w:val="28"/>
          <w:szCs w:val="28"/>
        </w:rPr>
        <w:t>公顷。</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（四）对采矿活动对矿山地质环境的影响进行了预测评估，根据对工程建设中、建设后可能引发或加剧的地质灾害危险性预测评估结论，预测引发露天采场边坡崩塌灾害的可能性大，危害</w:t>
      </w:r>
      <w:r>
        <w:rPr>
          <w:rFonts w:hint="eastAsia" w:ascii="宋体" w:hAnsi="宋体" w:eastAsia="宋体" w:cs="宋体"/>
          <w:color w:val="auto"/>
          <w:sz w:val="28"/>
          <w:szCs w:val="28"/>
          <w:lang w:eastAsia="zh-CN"/>
        </w:rPr>
        <w:t>程度为</w:t>
      </w:r>
      <w:r>
        <w:rPr>
          <w:rFonts w:hint="eastAsia" w:ascii="宋体" w:hAnsi="宋体" w:eastAsia="宋体" w:cs="宋体"/>
          <w:color w:val="auto"/>
          <w:sz w:val="28"/>
          <w:szCs w:val="28"/>
        </w:rPr>
        <w:t>中等，发育程度中等，危险性中等。预测露天采场边坡不易引发滑坡、不稳定斜坡地质灾害，发育程度弱，危害程度小，危险性小，预测评估矿山开采对地下含水层的影响程度“较轻”；预测评估规划露天采场对地形地貌景观的</w:t>
      </w:r>
      <w:bookmarkStart w:id="8" w:name="_GoBack"/>
      <w:r>
        <w:rPr>
          <w:rFonts w:hint="eastAsia" w:ascii="宋体" w:hAnsi="宋体" w:eastAsia="宋体" w:cs="宋体"/>
          <w:color w:val="auto"/>
          <w:sz w:val="28"/>
          <w:szCs w:val="28"/>
          <w:highlight w:val="none"/>
        </w:rPr>
        <w:t>影响为严重</w:t>
      </w:r>
      <w:bookmarkEnd w:id="8"/>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拟建办公</w:t>
      </w:r>
      <w:r>
        <w:rPr>
          <w:rFonts w:hint="eastAsia" w:ascii="宋体" w:hAnsi="宋体" w:eastAsia="宋体" w:cs="宋体"/>
          <w:color w:val="auto"/>
          <w:sz w:val="28"/>
          <w:szCs w:val="28"/>
        </w:rPr>
        <w:t>生活区、</w:t>
      </w:r>
      <w:r>
        <w:rPr>
          <w:rFonts w:hint="eastAsia" w:ascii="宋体" w:hAnsi="宋体" w:eastAsia="宋体" w:cs="宋体"/>
          <w:color w:val="auto"/>
          <w:sz w:val="28"/>
          <w:szCs w:val="28"/>
          <w:lang w:val="en-US" w:eastAsia="zh-CN"/>
        </w:rPr>
        <w:t>拟建工业场地、拟建</w:t>
      </w:r>
      <w:r>
        <w:rPr>
          <w:rFonts w:hint="eastAsia" w:ascii="宋体" w:hAnsi="宋体" w:eastAsia="宋体" w:cs="宋体"/>
          <w:color w:val="auto"/>
          <w:sz w:val="28"/>
          <w:szCs w:val="28"/>
        </w:rPr>
        <w:t>矿山道路对地形地貌景观的影响为较严重；除上述区域以外的其他区域对地形地貌景观的影响为较轻；预测评估矿山开采对水土环境的影响程度为“较轻”， 对大气污染的影响</w:t>
      </w:r>
      <w:r>
        <w:rPr>
          <w:rFonts w:hint="eastAsia" w:ascii="宋体" w:hAnsi="宋体" w:eastAsia="宋体" w:cs="宋体"/>
          <w:color w:val="auto"/>
          <w:sz w:val="28"/>
          <w:szCs w:val="28"/>
          <w:lang w:eastAsia="zh-CN"/>
        </w:rPr>
        <w:t>程度为</w:t>
      </w:r>
      <w:r>
        <w:rPr>
          <w:rFonts w:hint="eastAsia" w:ascii="宋体" w:hAnsi="宋体" w:eastAsia="宋体" w:cs="宋体"/>
          <w:color w:val="auto"/>
          <w:sz w:val="28"/>
          <w:szCs w:val="28"/>
        </w:rPr>
        <w:t>“较轻”。矿山地质环境影响预测评估划分为严重区、较严重区和较轻区3个区，评估区总面积</w:t>
      </w:r>
      <w:r>
        <w:rPr>
          <w:rFonts w:hint="eastAsia" w:ascii="宋体" w:hAnsi="宋体" w:eastAsia="宋体" w:cs="宋体"/>
          <w:color w:val="auto"/>
          <w:sz w:val="28"/>
          <w:szCs w:val="28"/>
          <w:lang w:val="en-US" w:eastAsia="zh-CN"/>
        </w:rPr>
        <w:t>36.00</w:t>
      </w:r>
      <w:r>
        <w:rPr>
          <w:rFonts w:hint="eastAsia" w:ascii="宋体" w:hAnsi="宋体" w:eastAsia="宋体" w:cs="宋体"/>
          <w:color w:val="auto"/>
          <w:sz w:val="28"/>
          <w:szCs w:val="28"/>
        </w:rPr>
        <w:t>公顷，其中：严重区：面积</w:t>
      </w:r>
      <w:r>
        <w:rPr>
          <w:rFonts w:hint="eastAsia" w:ascii="宋体" w:hAnsi="宋体" w:eastAsia="宋体" w:cs="宋体"/>
          <w:color w:val="auto"/>
          <w:sz w:val="28"/>
          <w:szCs w:val="28"/>
          <w:lang w:val="en-US" w:eastAsia="zh-CN"/>
        </w:rPr>
        <w:t>31.07公顷；拟建露天采矿场（包括拟建办公生活区、拟建工业场地、拟建矿山道路，总</w:t>
      </w:r>
      <w:r>
        <w:rPr>
          <w:rFonts w:hint="eastAsia" w:ascii="宋体" w:hAnsi="宋体" w:eastAsia="宋体" w:cs="宋体"/>
          <w:color w:val="auto"/>
          <w:sz w:val="28"/>
          <w:szCs w:val="28"/>
        </w:rPr>
        <w:t>面积</w:t>
      </w:r>
      <w:r>
        <w:rPr>
          <w:rFonts w:hint="eastAsia" w:ascii="宋体" w:hAnsi="宋体" w:eastAsia="宋体" w:cs="宋体"/>
          <w:color w:val="auto"/>
          <w:sz w:val="28"/>
          <w:szCs w:val="28"/>
          <w:lang w:val="en-US" w:eastAsia="zh-CN"/>
        </w:rPr>
        <w:t>1.08公顷，不重复计算）；预测采矿活动可能引发露天采矿场采坑边缘局部地段崩塌地质灾害，发育程度中等，危害程度中等，</w:t>
      </w:r>
      <w:r>
        <w:rPr>
          <w:rFonts w:hint="eastAsia" w:ascii="宋体" w:hAnsi="宋体" w:eastAsia="宋体" w:cs="宋体"/>
          <w:color w:val="auto"/>
          <w:sz w:val="28"/>
          <w:szCs w:val="28"/>
        </w:rPr>
        <w:t>危险性</w:t>
      </w:r>
      <w:r>
        <w:rPr>
          <w:rFonts w:hint="eastAsia" w:ascii="宋体" w:hAnsi="宋体" w:eastAsia="宋体" w:cs="宋体"/>
          <w:color w:val="auto"/>
          <w:sz w:val="28"/>
          <w:szCs w:val="28"/>
          <w:lang w:val="en-US" w:eastAsia="zh-CN"/>
        </w:rPr>
        <w:t>中等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对地质环境影响程度</w:t>
      </w:r>
      <w:r>
        <w:rPr>
          <w:rFonts w:hint="eastAsia" w:ascii="宋体" w:hAnsi="宋体" w:eastAsia="宋体" w:cs="宋体"/>
          <w:color w:val="auto"/>
          <w:sz w:val="28"/>
          <w:szCs w:val="28"/>
          <w:lang w:val="en-US" w:eastAsia="zh-CN"/>
        </w:rPr>
        <w:t>较严</w:t>
      </w:r>
      <w:r>
        <w:rPr>
          <w:rFonts w:hint="eastAsia" w:ascii="宋体" w:hAnsi="宋体" w:eastAsia="宋体" w:cs="宋体"/>
          <w:color w:val="auto"/>
          <w:sz w:val="28"/>
          <w:szCs w:val="28"/>
        </w:rPr>
        <w:t>重；对地形地貌景观影响程度</w:t>
      </w:r>
      <w:r>
        <w:rPr>
          <w:rFonts w:hint="eastAsia" w:ascii="宋体" w:hAnsi="宋体" w:eastAsia="宋体" w:cs="宋体"/>
          <w:color w:val="auto"/>
          <w:sz w:val="28"/>
          <w:szCs w:val="28"/>
          <w:lang w:val="en-US" w:eastAsia="zh-CN"/>
        </w:rPr>
        <w:t>为</w:t>
      </w:r>
      <w:r>
        <w:rPr>
          <w:rFonts w:hint="eastAsia" w:ascii="宋体" w:hAnsi="宋体" w:eastAsia="宋体" w:cs="宋体"/>
          <w:color w:val="auto"/>
          <w:sz w:val="28"/>
          <w:szCs w:val="28"/>
        </w:rPr>
        <w:t>严重。较轻区：面积</w:t>
      </w:r>
      <w:r>
        <w:rPr>
          <w:rFonts w:hint="eastAsia" w:ascii="宋体" w:hAnsi="宋体" w:eastAsia="宋体" w:cs="宋体"/>
          <w:color w:val="auto"/>
          <w:sz w:val="28"/>
          <w:szCs w:val="28"/>
          <w:lang w:val="en-US" w:eastAsia="zh-CN"/>
        </w:rPr>
        <w:t>4.93公顷</w:t>
      </w:r>
      <w:r>
        <w:rPr>
          <w:rFonts w:hint="eastAsia" w:ascii="宋体" w:hAnsi="宋体" w:eastAsia="宋体" w:cs="宋体"/>
          <w:color w:val="auto"/>
          <w:sz w:val="28"/>
          <w:szCs w:val="28"/>
        </w:rPr>
        <w:t>，包括评估区内除严重区以外的其它区域。地质灾害不发育，矿业活动对地形地貌、水土环境、含水层影响或破坏程度较轻。</w:t>
      </w:r>
    </w:p>
    <w:p>
      <w:pPr>
        <w:keepNext w:val="0"/>
        <w:keepLines w:val="0"/>
        <w:pageBreakBefore w:val="0"/>
        <w:widowControl w:val="0"/>
        <w:shd w:val="clear" w:color="auto" w:fill="auto"/>
        <w:kinsoku/>
        <w:wordWrap/>
        <w:overflowPunct/>
        <w:topLinePunct w:val="0"/>
        <w:autoSpaceDE w:val="0"/>
        <w:autoSpaceDN w:val="0"/>
        <w:bidi w:val="0"/>
        <w:adjustRightInd w:val="0"/>
        <w:snapToGrid w:val="0"/>
        <w:spacing w:line="5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（五）确定了矿山环境保护与治理恢复的原则、目标和任务，对矿区进行了矿山环境保护与治理恢复分区，并提出了具体的保护、治理以及监测方案，并进行了经费概算。</w:t>
      </w:r>
    </w:p>
    <w:p>
      <w:pPr>
        <w:keepNext w:val="0"/>
        <w:keepLines w:val="0"/>
        <w:pageBreakBefore w:val="0"/>
        <w:wordWrap/>
        <w:overflowPunct/>
        <w:topLinePunct w:val="0"/>
        <w:autoSpaceDE w:val="0"/>
        <w:autoSpaceDN w:val="0"/>
        <w:bidi w:val="0"/>
        <w:adjustRightInd w:val="0"/>
        <w:snapToGrid w:val="0"/>
        <w:spacing w:line="54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1、矿山环境保护与综合治理分区</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矿山地质环境保护与恢复治理分区划分为矿山地质环境重点防治区（（Ⅰ）、一般防治区（Ⅱ），分区总面积</w:t>
      </w:r>
      <w:r>
        <w:rPr>
          <w:rFonts w:hint="eastAsia" w:ascii="宋体" w:hAnsi="宋体" w:eastAsia="宋体" w:cs="宋体"/>
          <w:color w:val="auto"/>
          <w:sz w:val="28"/>
          <w:szCs w:val="28"/>
          <w:lang w:val="en-US" w:eastAsia="zh-CN"/>
        </w:rPr>
        <w:t>36.00</w:t>
      </w:r>
      <w:r>
        <w:rPr>
          <w:rFonts w:hint="eastAsia" w:ascii="宋体" w:hAnsi="宋体" w:eastAsia="宋体" w:cs="宋体"/>
          <w:color w:val="auto"/>
          <w:sz w:val="28"/>
          <w:szCs w:val="28"/>
        </w:rPr>
        <w:t>公顷，其中：重点防治区（Ⅰ）为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露天采场，面积</w:t>
      </w:r>
      <w:r>
        <w:rPr>
          <w:rFonts w:hint="eastAsia" w:ascii="宋体" w:hAnsi="宋体" w:eastAsia="宋体" w:cs="宋体"/>
          <w:color w:val="auto"/>
          <w:sz w:val="28"/>
          <w:szCs w:val="28"/>
          <w:lang w:val="en-US" w:eastAsia="zh-CN"/>
        </w:rPr>
        <w:t>31.07</w:t>
      </w:r>
      <w:r>
        <w:rPr>
          <w:rFonts w:hint="eastAsia" w:ascii="宋体" w:hAnsi="宋体" w:eastAsia="宋体" w:cs="宋体"/>
          <w:color w:val="auto"/>
          <w:sz w:val="28"/>
          <w:szCs w:val="28"/>
        </w:rPr>
        <w:t>公顷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包含拟建</w:t>
      </w:r>
      <w:r>
        <w:rPr>
          <w:rFonts w:hint="eastAsia" w:ascii="宋体" w:hAnsi="宋体" w:eastAsia="宋体" w:cs="宋体"/>
          <w:color w:val="auto"/>
          <w:sz w:val="28"/>
          <w:szCs w:val="28"/>
        </w:rPr>
        <w:t>办公生活区、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工业场地、</w:t>
      </w:r>
      <w:r>
        <w:rPr>
          <w:rFonts w:hint="eastAsia" w:ascii="宋体" w:hAnsi="宋体" w:eastAsia="宋体" w:cs="宋体"/>
          <w:color w:val="auto"/>
          <w:sz w:val="28"/>
          <w:szCs w:val="28"/>
          <w:lang w:val="en-US" w:eastAsia="zh-CN"/>
        </w:rPr>
        <w:t>拟建废石堆放场、拟建表土堆场、拟建</w:t>
      </w:r>
      <w:r>
        <w:rPr>
          <w:rFonts w:hint="eastAsia" w:ascii="宋体" w:hAnsi="宋体" w:eastAsia="宋体" w:cs="宋体"/>
          <w:color w:val="auto"/>
          <w:sz w:val="28"/>
          <w:szCs w:val="28"/>
        </w:rPr>
        <w:t>矿山道路</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；一般防治区（Ⅱ）为评估区其他区域，面积</w:t>
      </w:r>
      <w:r>
        <w:rPr>
          <w:rFonts w:hint="eastAsia" w:ascii="宋体" w:hAnsi="宋体" w:eastAsia="宋体" w:cs="宋体"/>
          <w:color w:val="auto"/>
          <w:sz w:val="28"/>
          <w:szCs w:val="28"/>
          <w:lang w:val="en-US" w:eastAsia="zh-CN"/>
        </w:rPr>
        <w:t>4.93</w:t>
      </w:r>
      <w:r>
        <w:rPr>
          <w:rFonts w:hint="eastAsia" w:ascii="宋体" w:hAnsi="宋体" w:eastAsia="宋体" w:cs="宋体"/>
          <w:color w:val="auto"/>
          <w:sz w:val="28"/>
          <w:szCs w:val="28"/>
        </w:rPr>
        <w:t>公顷。</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2、地质环境治理工程</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（1）地质灾害防治工程部署</w:t>
      </w:r>
    </w:p>
    <w:p>
      <w:pPr>
        <w:spacing w:line="560" w:lineRule="exact"/>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采前拟在对拟建露天采矿场外围设置铁丝围栏和警示牌，铁丝网长1630米，警示牌16个；在拟建露天采矿场外围修建截水沟。对采矿场不稳定边坡进行清理；对铁丝围栏、警示牌完好情况及露天采场地质灾害易发点进行巡视监测，开采结束后对露天采坑边坡进行回填处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40" w:lineRule="exact"/>
        <w:ind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含水层破坏防治工程部署</w:t>
      </w:r>
    </w:p>
    <w:p>
      <w:pPr>
        <w:numPr>
          <w:ilvl w:val="0"/>
          <w:numId w:val="3"/>
        </w:num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严格按设计进行开采，尽量减少地下开采对含水层的影响；加强废水资源化管理，生活污水应严格按设计集中收集，达标排放，加强各项水</w:t>
      </w:r>
      <w:r>
        <w:rPr>
          <w:rFonts w:hint="eastAsia" w:ascii="宋体" w:hAnsi="宋体" w:eastAsia="宋体" w:cs="宋体"/>
          <w:color w:val="auto"/>
          <w:sz w:val="28"/>
          <w:szCs w:val="28"/>
          <w:lang w:eastAsia="zh-CN"/>
        </w:rPr>
        <w:t>污染防治</w:t>
      </w:r>
      <w:r>
        <w:rPr>
          <w:rFonts w:hint="eastAsia" w:ascii="宋体" w:hAnsi="宋体" w:eastAsia="宋体" w:cs="宋体"/>
          <w:color w:val="auto"/>
          <w:sz w:val="28"/>
          <w:szCs w:val="28"/>
        </w:rPr>
        <w:t>及回收利用措施，加大环保力度；每年对含水层进行监测。</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（3）地形地貌景观防治工程部署</w:t>
      </w:r>
    </w:p>
    <w:p>
      <w:pPr>
        <w:widowControl w:val="0"/>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优化工程施工方案，尽量避免和减少破坏地形地貌景观；新掘出矿石及时消化，选用合适的综合利用技术，加大综合利用量，减少对地形地貌景观的破坏；采矿期间保护矿区内的卫生环境，减少对地形地貌景观的破坏；优化设计、一步到位，走向应尽量和当地的自然景观相协调；每年对地形地貌景观损毁情况进行监测。</w:t>
      </w:r>
    </w:p>
    <w:p>
      <w:pPr>
        <w:widowControl w:val="0"/>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（4）水土环境污染防治工程部署</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在矿山开采过程中，做到矿石不乱堆放，机械破碎后直接进行销售；生活污水经处理达标后用于道路降尘；生活垃圾定期拉运至</w:t>
      </w:r>
      <w:r>
        <w:rPr>
          <w:rFonts w:hint="eastAsia" w:ascii="宋体" w:hAnsi="宋体" w:eastAsia="宋体" w:cs="宋体"/>
          <w:color w:val="auto"/>
          <w:sz w:val="28"/>
          <w:szCs w:val="28"/>
          <w:lang w:val="en-US" w:eastAsia="zh-CN"/>
        </w:rPr>
        <w:t>周边</w:t>
      </w:r>
      <w:r>
        <w:rPr>
          <w:rFonts w:hint="eastAsia" w:ascii="宋体" w:hAnsi="宋体" w:eastAsia="宋体" w:cs="宋体"/>
          <w:color w:val="auto"/>
          <w:sz w:val="28"/>
          <w:szCs w:val="28"/>
        </w:rPr>
        <w:t>垃圾填埋场进行集中填埋，避免对生活区外的土地造成污染损毁；每年采集废水、土壤</w:t>
      </w:r>
      <w:r>
        <w:rPr>
          <w:rFonts w:hint="eastAsia" w:ascii="宋体" w:hAnsi="宋体" w:eastAsia="宋体" w:cs="宋体"/>
          <w:color w:val="auto"/>
          <w:sz w:val="28"/>
          <w:szCs w:val="28"/>
          <w:lang w:eastAsia="zh-CN"/>
        </w:rPr>
        <w:t>样本进行监测</w:t>
      </w:r>
      <w:r>
        <w:rPr>
          <w:rFonts w:hint="eastAsia" w:ascii="宋体" w:hAnsi="宋体" w:eastAsia="宋体" w:cs="宋体"/>
          <w:color w:val="auto"/>
          <w:sz w:val="28"/>
          <w:szCs w:val="28"/>
        </w:rPr>
        <w:t>。</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（5）大气污染防治工程部署</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矿山开采对大气污染程度较轻，开采期间严格按设计进行开采，定期进行洒水降尘措施，减轻对大气的污染，每年进行大气监测。</w:t>
      </w:r>
    </w:p>
    <w:p>
      <w:pPr>
        <w:spacing w:line="560" w:lineRule="exact"/>
        <w:ind w:firstLine="562" w:firstLineChars="200"/>
        <w:jc w:val="both"/>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八、矿区土地复垦</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1、矿区土地利用现状</w:t>
      </w:r>
    </w:p>
    <w:p>
      <w:pPr>
        <w:widowControl w:val="0"/>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评估区范围面积</w:t>
      </w:r>
      <w:r>
        <w:rPr>
          <w:rFonts w:hint="eastAsia" w:ascii="宋体" w:hAnsi="宋体" w:eastAsia="宋体" w:cs="宋体"/>
          <w:color w:val="auto"/>
          <w:sz w:val="28"/>
          <w:szCs w:val="28"/>
          <w:lang w:val="en-US" w:eastAsia="zh-CN"/>
        </w:rPr>
        <w:t>36.00</w:t>
      </w:r>
      <w:r>
        <w:rPr>
          <w:rFonts w:hint="eastAsia" w:ascii="宋体" w:hAnsi="宋体" w:eastAsia="宋体" w:cs="宋体"/>
          <w:color w:val="auto"/>
          <w:sz w:val="28"/>
          <w:szCs w:val="28"/>
        </w:rPr>
        <w:t>公顷，涉及</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种土地利用类型，为天然牧草地，土地权属性质为国有。</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2、土地复垦区与复垦责任范围</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本方案土地复垦区面积为</w:t>
      </w:r>
      <w:r>
        <w:rPr>
          <w:rFonts w:hint="eastAsia" w:ascii="宋体" w:hAnsi="宋体" w:eastAsia="宋体" w:cs="宋体"/>
          <w:color w:val="auto"/>
          <w:sz w:val="28"/>
          <w:szCs w:val="28"/>
          <w:lang w:val="en-US" w:eastAsia="zh-CN"/>
        </w:rPr>
        <w:t>31.07</w:t>
      </w:r>
      <w:r>
        <w:rPr>
          <w:rFonts w:hint="eastAsia" w:ascii="宋体" w:hAnsi="宋体" w:eastAsia="宋体" w:cs="宋体"/>
          <w:color w:val="auto"/>
          <w:sz w:val="28"/>
          <w:szCs w:val="28"/>
        </w:rPr>
        <w:t>公顷，复垦责任范围为</w:t>
      </w:r>
      <w:r>
        <w:rPr>
          <w:rFonts w:hint="eastAsia" w:ascii="宋体" w:hAnsi="宋体" w:eastAsia="宋体" w:cs="宋体"/>
          <w:color w:val="auto"/>
          <w:sz w:val="28"/>
          <w:szCs w:val="28"/>
          <w:lang w:val="en-US" w:eastAsia="zh-CN"/>
        </w:rPr>
        <w:t>31.07</w:t>
      </w:r>
      <w:r>
        <w:rPr>
          <w:rFonts w:hint="eastAsia" w:ascii="宋体" w:hAnsi="宋体" w:eastAsia="宋体" w:cs="宋体"/>
          <w:color w:val="auto"/>
          <w:sz w:val="28"/>
          <w:szCs w:val="28"/>
        </w:rPr>
        <w:t>公顷。</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矿山土地复垦共划分为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露天采矿场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办公生活区、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工业场地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矿山道路</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个复垦单元，完成土地复垦面积</w:t>
      </w:r>
      <w:r>
        <w:rPr>
          <w:rFonts w:hint="eastAsia" w:ascii="宋体" w:hAnsi="宋体" w:eastAsia="宋体" w:cs="宋体"/>
          <w:color w:val="auto"/>
          <w:sz w:val="28"/>
          <w:szCs w:val="28"/>
          <w:lang w:val="en-US" w:eastAsia="zh-CN"/>
        </w:rPr>
        <w:t>31.07</w:t>
      </w:r>
      <w:r>
        <w:rPr>
          <w:rFonts w:hint="eastAsia" w:ascii="宋体" w:hAnsi="宋体" w:eastAsia="宋体" w:cs="宋体"/>
          <w:color w:val="auto"/>
          <w:sz w:val="28"/>
          <w:szCs w:val="28"/>
        </w:rPr>
        <w:t>公顷，土地复垦方向为天然牧草地。本方案复垦率为100%。</w:t>
      </w:r>
    </w:p>
    <w:p>
      <w:pPr>
        <w:spacing w:line="560" w:lineRule="exact"/>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3</w:t>
      </w:r>
      <w:r>
        <w:rPr>
          <w:rFonts w:hint="eastAsia" w:ascii="宋体" w:hAnsi="宋体" w:eastAsia="宋体" w:cs="宋体"/>
          <w:color w:val="auto"/>
          <w:sz w:val="28"/>
          <w:szCs w:val="28"/>
        </w:rPr>
        <w:t>、矿区土地适宜性评价</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hint="eastAsia" w:ascii="宋体" w:hAnsi="宋体" w:eastAsia="宋体" w:cs="宋体"/>
          <w:color w:val="auto"/>
          <w:sz w:val="28"/>
          <w:szCs w:val="28"/>
        </w:rPr>
        <w:t>本方案复垦适宜性评价范围为复垦责任区，合计面积</w:t>
      </w:r>
      <w:r>
        <w:rPr>
          <w:rFonts w:hint="eastAsia" w:ascii="宋体" w:hAnsi="宋体" w:eastAsia="宋体" w:cs="宋体"/>
          <w:color w:val="auto"/>
          <w:sz w:val="28"/>
          <w:szCs w:val="28"/>
          <w:lang w:val="en-US" w:eastAsia="zh-CN"/>
        </w:rPr>
        <w:t>31.07</w:t>
      </w:r>
      <w:r>
        <w:rPr>
          <w:rFonts w:hint="eastAsia" w:ascii="宋体" w:hAnsi="宋体" w:eastAsia="宋体" w:cs="宋体"/>
          <w:color w:val="auto"/>
          <w:sz w:val="28"/>
          <w:szCs w:val="28"/>
        </w:rPr>
        <w:t>公顷，包括</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露天采矿场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办公生活区、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工业场地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矿山道路，依据原有土地利用方向及实际情况矿区存在一定荒漠植被，</w:t>
      </w:r>
      <w:r>
        <w:rPr>
          <w:rFonts w:hint="eastAsia" w:ascii="宋体" w:hAnsi="宋体" w:eastAsia="宋体" w:cs="宋体"/>
          <w:color w:val="auto"/>
          <w:sz w:val="28"/>
          <w:szCs w:val="28"/>
          <w:lang w:eastAsia="zh-CN"/>
        </w:rPr>
        <w:t>及当前</w:t>
      </w:r>
      <w:r>
        <w:rPr>
          <w:rFonts w:hint="eastAsia" w:ascii="宋体" w:hAnsi="宋体" w:eastAsia="宋体" w:cs="宋体"/>
          <w:color w:val="auto"/>
          <w:sz w:val="28"/>
          <w:szCs w:val="28"/>
        </w:rPr>
        <w:t>土壤、降水等自然条件下，具备植被恢复条件，确定土地复垦方向为天然牧草地。本项目损毁土地复垦方向确定为天然牧草地。</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4、矿区水土资源平衡分析</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项目土地复垦方向为天然牧草地，矿山开采、加工作业均为干式作业，无生产废水；生活污水统一经生活区的污水处理池处理用于洒水降尘。</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矿山后期矿山生产共计产生废石</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rPr>
        <w:t>万立方米，矿山全部废石均用于采坑的回填，生活垃圾就近清运至指定垃圾处理厂集中处理。</w:t>
      </w:r>
    </w:p>
    <w:p>
      <w:pPr>
        <w:spacing w:line="560" w:lineRule="exact"/>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5</w:t>
      </w:r>
      <w:r>
        <w:rPr>
          <w:rFonts w:hint="eastAsia" w:ascii="宋体" w:hAnsi="宋体" w:eastAsia="宋体" w:cs="宋体"/>
          <w:color w:val="auto"/>
          <w:sz w:val="28"/>
          <w:szCs w:val="28"/>
        </w:rPr>
        <w:t>、土地复垦工程措施</w:t>
      </w:r>
    </w:p>
    <w:p>
      <w:pPr>
        <w:widowControl w:val="0"/>
        <w:spacing w:line="560" w:lineRule="exact"/>
        <w:ind w:firstLine="560" w:firstLineChars="200"/>
        <w:jc w:val="both"/>
        <w:rPr>
          <w:rFonts w:ascii="宋体" w:hAnsi="宋体" w:eastAsia="宋体" w:cs="宋体"/>
          <w:color w:val="auto"/>
          <w:sz w:val="28"/>
          <w:szCs w:val="28"/>
        </w:rPr>
      </w:pPr>
      <w:bookmarkStart w:id="6" w:name="_Hlk92294388"/>
      <w:r>
        <w:rPr>
          <w:rFonts w:hint="eastAsia" w:ascii="宋体" w:hAnsi="宋体" w:eastAsia="宋体" w:cs="宋体"/>
          <w:color w:val="auto"/>
          <w:sz w:val="28"/>
          <w:szCs w:val="28"/>
        </w:rPr>
        <w:t>本方案划分</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个土地复垦单元，分别为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露天采矿场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办公生活区、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工业场地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矿山道路复垦单元。</w:t>
      </w:r>
    </w:p>
    <w:p>
      <w:pPr>
        <w:widowControl w:val="0"/>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土地复垦措施主要包括废石回填工程、拆除清运工程、土地平整工程、翻耕工程、</w:t>
      </w:r>
      <w:r>
        <w:rPr>
          <w:rFonts w:hint="eastAsia" w:ascii="宋体" w:hAnsi="宋体" w:eastAsia="宋体" w:cs="宋体"/>
          <w:color w:val="auto"/>
          <w:sz w:val="28"/>
          <w:szCs w:val="28"/>
          <w:lang w:val="en-US" w:eastAsia="zh-CN"/>
        </w:rPr>
        <w:t>复绿</w:t>
      </w:r>
      <w:r>
        <w:rPr>
          <w:rFonts w:hint="eastAsia" w:ascii="宋体" w:hAnsi="宋体" w:eastAsia="宋体" w:cs="宋体"/>
          <w:color w:val="auto"/>
          <w:sz w:val="28"/>
          <w:szCs w:val="28"/>
        </w:rPr>
        <w:t>工程等，土地复垦工程在矿山闭坑后完成。</w:t>
      </w:r>
      <w:bookmarkEnd w:id="6"/>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6、土地复垦监测</w:t>
      </w:r>
    </w:p>
    <w:p>
      <w:pPr>
        <w:spacing w:line="560" w:lineRule="exact"/>
        <w:ind w:firstLine="560" w:firstLineChars="200"/>
        <w:jc w:val="both"/>
        <w:rPr>
          <w:rFonts w:ascii="宋体" w:hAnsi="宋体" w:eastAsia="宋体" w:cs="宋体"/>
          <w:color w:val="auto"/>
          <w:sz w:val="28"/>
          <w:szCs w:val="28"/>
        </w:rPr>
      </w:pPr>
      <w:bookmarkStart w:id="7" w:name="_Hlk92295462"/>
      <w:r>
        <w:rPr>
          <w:rFonts w:ascii="宋体" w:hAnsi="宋体" w:eastAsia="宋体" w:cs="宋体"/>
          <w:color w:val="auto"/>
          <w:sz w:val="28"/>
          <w:szCs w:val="28"/>
        </w:rPr>
        <w:t>各复垦单元</w:t>
      </w:r>
      <w:r>
        <w:rPr>
          <w:rFonts w:hint="eastAsia" w:ascii="宋体" w:hAnsi="宋体" w:eastAsia="宋体" w:cs="宋体"/>
          <w:color w:val="auto"/>
          <w:sz w:val="28"/>
          <w:szCs w:val="28"/>
        </w:rPr>
        <w:t>分别</w:t>
      </w:r>
      <w:r>
        <w:rPr>
          <w:rFonts w:ascii="宋体" w:hAnsi="宋体" w:eastAsia="宋体" w:cs="宋体"/>
          <w:color w:val="auto"/>
          <w:sz w:val="28"/>
          <w:szCs w:val="28"/>
        </w:rPr>
        <w:t>设置1个监测点，包括</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露天采矿场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办公生活区、</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工业场地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拟建</w:t>
      </w:r>
      <w:r>
        <w:rPr>
          <w:rFonts w:hint="eastAsia" w:ascii="宋体" w:hAnsi="宋体" w:eastAsia="宋体" w:cs="宋体"/>
          <w:color w:val="auto"/>
          <w:sz w:val="28"/>
          <w:szCs w:val="28"/>
        </w:rPr>
        <w:t>矿山道路，共计</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个监测点，</w:t>
      </w:r>
      <w:r>
        <w:rPr>
          <w:rFonts w:ascii="宋体" w:hAnsi="宋体" w:eastAsia="宋体" w:cs="宋体"/>
          <w:color w:val="auto"/>
          <w:sz w:val="28"/>
          <w:szCs w:val="28"/>
        </w:rPr>
        <w:t>主要</w:t>
      </w:r>
      <w:r>
        <w:rPr>
          <w:rFonts w:hint="eastAsia" w:ascii="宋体" w:hAnsi="宋体" w:eastAsia="宋体" w:cs="宋体"/>
          <w:color w:val="auto"/>
          <w:sz w:val="28"/>
          <w:szCs w:val="28"/>
        </w:rPr>
        <w:t>进行</w:t>
      </w:r>
      <w:r>
        <w:rPr>
          <w:rFonts w:ascii="宋体" w:hAnsi="宋体" w:eastAsia="宋体" w:cs="宋体"/>
          <w:color w:val="auto"/>
          <w:sz w:val="28"/>
          <w:szCs w:val="28"/>
        </w:rPr>
        <w:t>土地损毁监测</w:t>
      </w:r>
      <w:r>
        <w:rPr>
          <w:rFonts w:hint="eastAsia" w:ascii="宋体" w:hAnsi="宋体" w:eastAsia="宋体" w:cs="宋体"/>
          <w:color w:val="auto"/>
          <w:sz w:val="28"/>
          <w:szCs w:val="28"/>
        </w:rPr>
        <w:t>和</w:t>
      </w:r>
      <w:r>
        <w:rPr>
          <w:rFonts w:ascii="宋体" w:hAnsi="宋体" w:eastAsia="宋体" w:cs="宋体"/>
          <w:color w:val="auto"/>
          <w:sz w:val="28"/>
          <w:szCs w:val="28"/>
        </w:rPr>
        <w:t>复垦</w:t>
      </w:r>
      <w:r>
        <w:rPr>
          <w:rFonts w:hint="eastAsia" w:ascii="宋体" w:hAnsi="宋体" w:eastAsia="宋体" w:cs="宋体"/>
          <w:color w:val="auto"/>
          <w:sz w:val="28"/>
          <w:szCs w:val="28"/>
        </w:rPr>
        <w:t>实施</w:t>
      </w:r>
      <w:r>
        <w:rPr>
          <w:rFonts w:ascii="宋体" w:hAnsi="宋体" w:eastAsia="宋体" w:cs="宋体"/>
          <w:color w:val="auto"/>
          <w:sz w:val="28"/>
          <w:szCs w:val="28"/>
        </w:rPr>
        <w:t>效果监测</w:t>
      </w:r>
      <w:bookmarkEnd w:id="7"/>
      <w:r>
        <w:rPr>
          <w:rFonts w:ascii="宋体" w:hAnsi="宋体" w:eastAsia="宋体" w:cs="宋体"/>
          <w:color w:val="auto"/>
          <w:sz w:val="28"/>
          <w:szCs w:val="28"/>
        </w:rPr>
        <w:t>。</w:t>
      </w:r>
    </w:p>
    <w:p>
      <w:pPr>
        <w:spacing w:line="560" w:lineRule="exact"/>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、土地复垦实施年限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hint="eastAsia" w:ascii="宋体" w:hAnsi="宋体" w:eastAsia="宋体" w:cs="宋体"/>
          <w:color w:val="auto"/>
          <w:sz w:val="28"/>
          <w:szCs w:val="28"/>
        </w:rPr>
        <w:t>本矿山为</w:t>
      </w:r>
      <w:r>
        <w:rPr>
          <w:rFonts w:hint="eastAsia" w:ascii="宋体" w:hAnsi="宋体" w:eastAsia="宋体" w:cs="宋体"/>
          <w:color w:val="auto"/>
          <w:sz w:val="28"/>
          <w:szCs w:val="28"/>
          <w:lang w:val="en-US" w:eastAsia="zh-CN"/>
        </w:rPr>
        <w:t>新建</w:t>
      </w:r>
      <w:r>
        <w:rPr>
          <w:rFonts w:hint="eastAsia" w:ascii="宋体" w:hAnsi="宋体" w:eastAsia="宋体" w:cs="宋体"/>
          <w:color w:val="auto"/>
          <w:sz w:val="28"/>
          <w:szCs w:val="28"/>
        </w:rPr>
        <w:t>矿山，</w:t>
      </w:r>
      <w:r>
        <w:rPr>
          <w:rFonts w:hint="eastAsia" w:ascii="宋体" w:hAnsi="宋体" w:eastAsia="宋体" w:cs="宋体"/>
          <w:color w:val="auto"/>
          <w:sz w:val="28"/>
          <w:szCs w:val="28"/>
          <w:lang w:val="en-US" w:eastAsia="zh-CN"/>
        </w:rPr>
        <w:t>基建期0.25年，</w:t>
      </w:r>
      <w:r>
        <w:rPr>
          <w:rFonts w:hint="eastAsia" w:ascii="宋体" w:hAnsi="宋体" w:eastAsia="宋体" w:cs="宋体"/>
          <w:color w:val="auto"/>
          <w:sz w:val="28"/>
          <w:szCs w:val="28"/>
        </w:rPr>
        <w:t>设计服务年限为</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年，土地复垦工作须在各个矿体闭坑后进行，计划施工期为0.5年及复垦管护期3年，最终土地复垦实施年限为</w:t>
      </w:r>
      <w:r>
        <w:rPr>
          <w:rFonts w:hint="eastAsia" w:ascii="宋体" w:hAnsi="宋体" w:eastAsia="宋体" w:cs="宋体"/>
          <w:color w:val="auto"/>
          <w:sz w:val="28"/>
          <w:szCs w:val="28"/>
          <w:lang w:val="en-US" w:eastAsia="zh-CN"/>
        </w:rPr>
        <w:t>4.75</w:t>
      </w:r>
      <w:r>
        <w:rPr>
          <w:rFonts w:hint="eastAsia" w:ascii="宋体" w:hAnsi="宋体" w:eastAsia="宋体" w:cs="宋体"/>
          <w:color w:val="auto"/>
          <w:sz w:val="28"/>
          <w:szCs w:val="28"/>
        </w:rPr>
        <w:t>年（2024年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月—20</w:t>
      </w:r>
      <w:r>
        <w:rPr>
          <w:rFonts w:hint="eastAsia" w:ascii="宋体" w:hAnsi="宋体" w:eastAsia="宋体" w:cs="宋体"/>
          <w:color w:val="auto"/>
          <w:sz w:val="28"/>
          <w:szCs w:val="28"/>
          <w:lang w:val="en-US" w:eastAsia="zh-CN"/>
        </w:rPr>
        <w:t>29</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月）。</w:t>
      </w:r>
    </w:p>
    <w:p>
      <w:pPr>
        <w:spacing w:line="560" w:lineRule="exact"/>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8</w:t>
      </w:r>
      <w:r>
        <w:rPr>
          <w:rFonts w:hint="eastAsia" w:ascii="宋体" w:hAnsi="宋体" w:eastAsia="宋体" w:cs="宋体"/>
          <w:color w:val="auto"/>
          <w:sz w:val="28"/>
          <w:szCs w:val="28"/>
        </w:rPr>
        <w:t>、土地复垦阶段工作安排</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本矿山生产期1.0年；开采年结束后，对本年度开采的位置进行矿山进行地质环境恢复治理，完成相应的治理措施，做好灾害监测，对危岩进行清理。对边坡回填采坑底部筑坡，降低边坡角至30°；回填位置根据矿山开采情况进行实际确定</w:t>
      </w:r>
      <w:r>
        <w:rPr>
          <w:rFonts w:hint="eastAsia" w:ascii="宋体" w:hAnsi="宋体" w:eastAsia="宋体" w:cs="宋体"/>
          <w:color w:val="auto"/>
          <w:sz w:val="28"/>
          <w:szCs w:val="28"/>
        </w:rPr>
        <w:t>，生产期对各复垦单元进行土地损毁监测，矿山闭坑后进行全面的土地复垦工作，同时进行土地损毁监测。</w:t>
      </w:r>
    </w:p>
    <w:p>
      <w:pPr>
        <w:spacing w:line="560" w:lineRule="exact"/>
        <w:ind w:firstLine="562" w:firstLineChars="200"/>
        <w:jc w:val="both"/>
        <w:outlineLvl w:val="0"/>
        <w:rPr>
          <w:rFonts w:ascii="宋体" w:hAnsi="宋体" w:eastAsia="宋体" w:cs="宋体"/>
          <w:b/>
          <w:bCs/>
          <w:color w:val="auto"/>
          <w:sz w:val="28"/>
          <w:szCs w:val="28"/>
        </w:rPr>
      </w:pPr>
      <w:r>
        <w:rPr>
          <w:rFonts w:hint="eastAsia" w:ascii="宋体" w:hAnsi="宋体" w:eastAsia="宋体" w:cs="宋体"/>
          <w:b/>
          <w:bCs/>
          <w:color w:val="auto"/>
          <w:sz w:val="28"/>
          <w:szCs w:val="28"/>
        </w:rPr>
        <w:t>九、技术经济指标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建成投产后，正常年销售收入为5455.610万元，正常年利润总额为3154.96万元，年上缴所得税额为788.74万元，税后利润为2366.22万元。项目具有较好的盈利能力。投资净利润率为766.24%，总投资收益率为1021.65%；项目静态投资回收期为0.12年，表明项目财务可行。通过敏感性分析预测和盈亏平衡点分析，项目盈亏平衡生产能力为设计生产能力的25.49％，抗风险能力较强。新疆乌苏市古尔图镇西南侧建筑用砂矿开采条件较好，矿石易采，经经济效益分析，该矿投资较大，见效快，回收期短，矿床开发的经济效益良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疆兴晟源建材有限公司新疆乌苏市古尔图镇西南侧建筑用砂矿矿山地质环境治理工程静态总投资25.37万元，其中：工程施工费13.84万元，地质环境监测费8.49万元，其他费用1.84万元，预备费1.20万元。土地复垦责任范围31.07公顷。新疆兴晟源建材有限公司新疆乌苏市古尔图镇西南侧建筑用砂矿矿山土地复垦静态总投资50.36万元。其中工程施工费33.15万元，监测费用10.40万元，其他费用4.41万元，预备费2.40万元。</w:t>
      </w:r>
    </w:p>
    <w:p>
      <w:pPr>
        <w:spacing w:line="56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十、存在的问题及建议</w:t>
      </w:r>
    </w:p>
    <w:p>
      <w:pPr>
        <w:spacing w:line="560" w:lineRule="exact"/>
        <w:ind w:firstLine="560" w:firstLineChars="200"/>
        <w:rPr>
          <w:rFonts w:ascii="宋体" w:hAnsi="宋体" w:eastAsia="宋体" w:cs="宋体"/>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rPr>
        <w:t>、矿山今后在生产过程中应严格按开发利用方案进行开采，控制好台阶高度和边坡角，加强边坡台阶管理，加强巡视、监测，预防、减少和避免地质灾害的发生。</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baseline"/>
        <w:rPr>
          <w:rFonts w:ascii="宋体" w:hAnsi="宋体" w:eastAsia="宋体" w:cs="宋体"/>
          <w:color w:val="auto"/>
          <w:sz w:val="28"/>
          <w:szCs w:val="28"/>
        </w:rPr>
      </w:pPr>
      <w:r>
        <w:rPr>
          <w:rFonts w:ascii="宋体" w:hAnsi="宋体" w:eastAsia="宋体" w:cs="宋体"/>
          <w:color w:val="auto"/>
          <w:sz w:val="28"/>
          <w:szCs w:val="28"/>
        </w:rPr>
        <w:t>2</w:t>
      </w:r>
      <w:r>
        <w:rPr>
          <w:rFonts w:hint="eastAsia" w:ascii="宋体" w:hAnsi="宋体" w:eastAsia="宋体" w:cs="宋体"/>
          <w:color w:val="auto"/>
          <w:sz w:val="28"/>
          <w:szCs w:val="28"/>
        </w:rPr>
        <w:t>、加强矿区环境保护工作，最大限度地保护当地生态环境，尽可能实行边开采边治理，以减轻水土流失，改善生态环境。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ascii="宋体" w:hAnsi="宋体" w:eastAsia="宋体" w:cs="宋体"/>
          <w:color w:val="auto"/>
          <w:sz w:val="28"/>
          <w:szCs w:val="28"/>
        </w:rPr>
        <w:t>3</w:t>
      </w:r>
      <w:r>
        <w:rPr>
          <w:rFonts w:hint="eastAsia" w:ascii="宋体" w:hAnsi="宋体" w:eastAsia="宋体" w:cs="宋体"/>
          <w:color w:val="auto"/>
          <w:sz w:val="28"/>
          <w:szCs w:val="28"/>
        </w:rPr>
        <w:t>、在矿山开发中如出现方案中没有提到的问题或今后矿山生产中形成的新的地质环境问题和矿山地质灾害，应及时进行专项调查，及时采取措施将地质灾害的损失降低到最小。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ascii="宋体" w:hAnsi="宋体" w:eastAsia="宋体" w:cs="宋体"/>
          <w:color w:val="auto"/>
          <w:sz w:val="28"/>
          <w:szCs w:val="28"/>
        </w:rPr>
        <w:t>4</w:t>
      </w:r>
      <w:r>
        <w:rPr>
          <w:rFonts w:hint="eastAsia" w:ascii="宋体" w:hAnsi="宋体" w:eastAsia="宋体" w:cs="宋体"/>
          <w:color w:val="auto"/>
          <w:sz w:val="28"/>
          <w:szCs w:val="28"/>
        </w:rPr>
        <w:t>、本方案是在收集资料和现场调查的基础上编制而成，不替代矿山开采设计和相关工程勘查、治理设计，只作为国土部门矿山资源管理的依据，方案进入实施阶段时，应进行实地勘测，开展详细设计方案编制工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宋体" w:hAnsi="宋体" w:eastAsia="宋体" w:cs="宋体"/>
          <w:color w:val="auto"/>
          <w:sz w:val="28"/>
          <w:szCs w:val="28"/>
        </w:rPr>
      </w:pPr>
      <w:r>
        <w:rPr>
          <w:rFonts w:hint="eastAsia" w:ascii="宋体" w:hAnsi="宋体" w:eastAsia="宋体" w:cs="宋体"/>
          <w:color w:val="auto"/>
          <w:sz w:val="28"/>
          <w:szCs w:val="28"/>
        </w:rPr>
        <w:t>5、本方案生产服务年限为</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年，基建期0.25年，复垦期0.5年，管护期3年，</w:t>
      </w:r>
      <w:r>
        <w:rPr>
          <w:rFonts w:hint="eastAsia" w:ascii="宋体" w:hAnsi="宋体" w:eastAsia="宋体" w:cs="宋体"/>
          <w:color w:val="auto"/>
          <w:sz w:val="28"/>
          <w:szCs w:val="28"/>
          <w:lang w:eastAsia="zh-CN"/>
        </w:rPr>
        <w:t>该方案</w:t>
      </w:r>
      <w:r>
        <w:rPr>
          <w:rFonts w:hint="eastAsia" w:ascii="宋体" w:hAnsi="宋体" w:eastAsia="宋体" w:cs="宋体"/>
          <w:color w:val="auto"/>
          <w:sz w:val="28"/>
          <w:szCs w:val="28"/>
        </w:rPr>
        <w:t>总的服务年限为</w:t>
      </w:r>
      <w:r>
        <w:rPr>
          <w:rFonts w:hint="eastAsia" w:ascii="宋体" w:hAnsi="宋体" w:eastAsia="宋体" w:cs="宋体"/>
          <w:color w:val="auto"/>
          <w:sz w:val="28"/>
          <w:szCs w:val="28"/>
          <w:lang w:val="en-US" w:eastAsia="zh-CN"/>
        </w:rPr>
        <w:t>4.75</w:t>
      </w:r>
      <w:r>
        <w:rPr>
          <w:rFonts w:hint="eastAsia" w:ascii="宋体" w:hAnsi="宋体" w:eastAsia="宋体" w:cs="宋体"/>
          <w:color w:val="auto"/>
          <w:sz w:val="28"/>
          <w:szCs w:val="28"/>
        </w:rPr>
        <w:t>年。根据新自然资规〔2021〕3号文及其附件《自治区矿产资源开发利用与生态保护修复方案编制提纲（试行）》规定，确定本《方案》适用年限为</w:t>
      </w:r>
      <w:r>
        <w:rPr>
          <w:rFonts w:hint="eastAsia" w:ascii="宋体" w:hAnsi="宋体" w:eastAsia="宋体" w:cs="宋体"/>
          <w:color w:val="auto"/>
          <w:sz w:val="28"/>
          <w:szCs w:val="28"/>
          <w:lang w:val="en-US" w:eastAsia="zh-CN"/>
        </w:rPr>
        <w:t>4.75</w:t>
      </w:r>
      <w:r>
        <w:rPr>
          <w:rFonts w:hint="eastAsia" w:ascii="宋体" w:hAnsi="宋体" w:eastAsia="宋体" w:cs="宋体"/>
          <w:color w:val="auto"/>
          <w:sz w:val="28"/>
          <w:szCs w:val="28"/>
        </w:rPr>
        <w:t>年。本《方案》适用年限内若生产规模、开采范围或开采方式有所变动，需对《方案》进行重新编制。</w:t>
      </w:r>
    </w:p>
    <w:p>
      <w:pPr>
        <w:pStyle w:val="14"/>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6、该方案符合相关要求，建议审查通过。</w:t>
      </w:r>
    </w:p>
    <w:p>
      <w:pPr>
        <w:pStyle w:val="12"/>
        <w:rPr>
          <w:rFonts w:hint="eastAsia" w:ascii="宋体" w:hAnsi="宋体" w:eastAsia="宋体" w:cs="宋体"/>
          <w:color w:val="auto"/>
          <w:sz w:val="28"/>
          <w:szCs w:val="28"/>
        </w:rPr>
      </w:pPr>
    </w:p>
    <w:p>
      <w:pPr>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p>
    <w:p>
      <w:pPr>
        <w:spacing w:line="560" w:lineRule="exact"/>
        <w:ind w:firstLine="560" w:firstLineChars="200"/>
        <w:rPr>
          <w:rFonts w:hint="eastAsia" w:ascii="宋体" w:hAnsi="宋体" w:eastAsia="宋体" w:cs="宋体"/>
          <w:color w:val="auto"/>
          <w:sz w:val="28"/>
          <w:szCs w:val="28"/>
          <w:lang w:val="en-US" w:eastAsia="zh-CN"/>
        </w:rPr>
      </w:pPr>
    </w:p>
    <w:p>
      <w:pPr>
        <w:spacing w:line="560" w:lineRule="exact"/>
        <w:ind w:firstLine="560" w:firstLineChars="200"/>
        <w:rPr>
          <w:rFonts w:hint="eastAsia" w:ascii="宋体" w:hAnsi="宋体" w:eastAsia="宋体" w:cs="宋体"/>
          <w:color w:val="auto"/>
          <w:sz w:val="28"/>
          <w:szCs w:val="28"/>
          <w:lang w:val="en-US" w:eastAsia="zh-CN"/>
        </w:rPr>
      </w:pPr>
    </w:p>
    <w:p>
      <w:pPr>
        <w:spacing w:line="560" w:lineRule="exact"/>
        <w:ind w:firstLine="560" w:firstLineChars="200"/>
        <w:rPr>
          <w:rFonts w:hint="eastAsia" w:ascii="宋体" w:hAnsi="宋体" w:eastAsia="宋体" w:cs="宋体"/>
          <w:color w:val="auto"/>
          <w:sz w:val="28"/>
          <w:szCs w:val="28"/>
          <w:lang w:val="en-US" w:eastAsia="zh-CN"/>
        </w:rPr>
      </w:pPr>
    </w:p>
    <w:p>
      <w:pPr>
        <w:spacing w:line="560" w:lineRule="exact"/>
        <w:ind w:firstLine="560" w:firstLineChars="20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评审专家组组长：王多生</w:t>
      </w:r>
    </w:p>
    <w:p>
      <w:pPr>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2024年5月23日</w:t>
      </w:r>
    </w:p>
    <w:p>
      <w:pPr>
        <w:rPr>
          <w:rFonts w:hint="eastAsia" w:ascii="宋体" w:hAnsi="宋体" w:eastAsia="宋体" w:cs="宋体"/>
          <w:color w:val="auto"/>
          <w:sz w:val="28"/>
          <w:szCs w:val="28"/>
          <w:lang w:val="en-US" w:eastAsia="zh-CN"/>
        </w:rPr>
      </w:pPr>
    </w:p>
    <w:p>
      <w:pPr>
        <w:pStyle w:val="5"/>
        <w:rPr>
          <w:rFonts w:hint="eastAsia" w:ascii="宋体" w:hAnsi="宋体" w:eastAsia="宋体" w:cs="宋体"/>
          <w:color w:val="auto"/>
          <w:sz w:val="28"/>
          <w:szCs w:val="28"/>
          <w:lang w:val="en-US" w:eastAsia="zh-CN"/>
        </w:rPr>
      </w:pPr>
    </w:p>
    <w:p>
      <w:pPr>
        <w:ind w:firstLine="560"/>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pStyle w:val="2"/>
        <w:rPr>
          <w:rFonts w:hint="eastAsia" w:ascii="宋体" w:hAnsi="宋体" w:eastAsia="宋体" w:cs="宋体"/>
          <w:color w:val="auto"/>
          <w:sz w:val="28"/>
          <w:szCs w:val="28"/>
          <w:lang w:val="en-US" w:eastAsia="zh-CN"/>
        </w:rPr>
      </w:pPr>
    </w:p>
    <w:p>
      <w:pPr>
        <w:ind w:firstLine="560"/>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附：评审专家组成员名单</w:t>
      </w:r>
    </w:p>
    <w:p>
      <w:pPr>
        <w:pStyle w:val="2"/>
        <w:rPr>
          <w:rFonts w:hint="eastAsia"/>
          <w:lang w:val="en-US" w:eastAsia="zh-CN"/>
        </w:rPr>
      </w:pPr>
    </w:p>
    <w:p>
      <w:pPr>
        <w:pStyle w:val="5"/>
        <w:ind w:firstLine="560"/>
        <w:rPr>
          <w:rFonts w:hint="default"/>
          <w:lang w:val="en-US" w:eastAsia="zh-CN"/>
        </w:rPr>
      </w:pPr>
    </w:p>
    <w:p>
      <w:pPr>
        <w:jc w:val="center"/>
        <w:rPr>
          <w:rFonts w:hint="eastAsia" w:ascii="宋体" w:hAnsi="宋体" w:eastAsia="宋体"/>
          <w:b/>
          <w:color w:val="auto"/>
          <w:sz w:val="30"/>
          <w:szCs w:val="30"/>
          <w:lang w:eastAsia="zh-CN"/>
        </w:rPr>
      </w:pPr>
      <w:r>
        <w:rPr>
          <w:rFonts w:hint="eastAsia" w:ascii="宋体" w:hAnsi="宋体" w:eastAsia="宋体"/>
          <w:b/>
          <w:color w:val="auto"/>
          <w:sz w:val="30"/>
          <w:szCs w:val="30"/>
        </w:rPr>
        <w:t>《</w:t>
      </w:r>
      <w:r>
        <w:rPr>
          <w:rFonts w:hint="eastAsia" w:ascii="宋体" w:hAnsi="宋体" w:eastAsia="宋体"/>
          <w:b/>
          <w:color w:val="auto"/>
          <w:sz w:val="30"/>
          <w:szCs w:val="30"/>
          <w:lang w:val="en-US" w:eastAsia="zh-CN"/>
        </w:rPr>
        <w:t>新疆兴晟源建材有限公司新疆乌苏市古尔图镇西南侧建筑用砂矿</w:t>
      </w:r>
      <w:r>
        <w:rPr>
          <w:rFonts w:hint="eastAsia" w:ascii="宋体" w:hAnsi="宋体" w:eastAsia="宋体"/>
          <w:b/>
          <w:color w:val="auto"/>
          <w:sz w:val="30"/>
          <w:szCs w:val="30"/>
          <w:lang w:eastAsia="zh-CN"/>
        </w:rPr>
        <w:t>矿产资源开发利用与生态保护修复方案</w:t>
      </w:r>
      <w:r>
        <w:rPr>
          <w:rFonts w:hint="eastAsia" w:ascii="宋体" w:hAnsi="宋体" w:eastAsia="宋体"/>
          <w:b/>
          <w:color w:val="auto"/>
          <w:sz w:val="30"/>
          <w:szCs w:val="30"/>
        </w:rPr>
        <w:t>》</w:t>
      </w:r>
      <w:r>
        <w:rPr>
          <w:rFonts w:hint="eastAsia" w:ascii="宋体" w:hAnsi="宋体" w:eastAsia="宋体"/>
          <w:b/>
          <w:color w:val="auto"/>
          <w:sz w:val="30"/>
          <w:szCs w:val="30"/>
          <w:lang w:eastAsia="zh-CN"/>
        </w:rPr>
        <w:t>评审专家组成员名单</w:t>
      </w:r>
    </w:p>
    <w:tbl>
      <w:tblPr>
        <w:tblStyle w:val="1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1559"/>
        <w:gridCol w:w="2268"/>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姓  名</w:t>
            </w:r>
          </w:p>
        </w:tc>
        <w:tc>
          <w:tcPr>
            <w:tcW w:w="2126"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专家组成员</w:t>
            </w:r>
          </w:p>
        </w:tc>
        <w:tc>
          <w:tcPr>
            <w:tcW w:w="1559"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专 业</w:t>
            </w:r>
          </w:p>
        </w:tc>
        <w:tc>
          <w:tcPr>
            <w:tcW w:w="2268"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技术职称</w:t>
            </w:r>
          </w:p>
        </w:tc>
        <w:tc>
          <w:tcPr>
            <w:tcW w:w="2214"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王多生</w:t>
            </w:r>
          </w:p>
        </w:tc>
        <w:tc>
          <w:tcPr>
            <w:tcW w:w="2126"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专家组组长</w:t>
            </w:r>
          </w:p>
        </w:tc>
        <w:tc>
          <w:tcPr>
            <w:tcW w:w="1559"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采 矿</w:t>
            </w:r>
          </w:p>
        </w:tc>
        <w:tc>
          <w:tcPr>
            <w:tcW w:w="2268"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高级工程师</w:t>
            </w:r>
          </w:p>
        </w:tc>
        <w:tc>
          <w:tcPr>
            <w:tcW w:w="2214" w:type="dxa"/>
            <w:vAlign w:val="center"/>
          </w:tcPr>
          <w:p>
            <w:pPr>
              <w:widowControl w:val="0"/>
              <w:jc w:val="center"/>
              <w:rPr>
                <w:rFonts w:ascii="仿宋" w:hAnsi="仿宋" w:eastAsia="仿宋" w:cs="Times New Roman"/>
                <w:sz w:val="28"/>
                <w:szCs w:val="28"/>
              </w:rPr>
            </w:pPr>
            <w:r>
              <w:rPr>
                <w:rFonts w:ascii="仿宋" w:hAnsi="仿宋" w:eastAsia="仿宋" w:cs="Times New Roman"/>
                <w:sz w:val="28"/>
                <w:szCs w:val="28"/>
              </w:rPr>
              <w:drawing>
                <wp:inline distT="0" distB="0" distL="0" distR="0">
                  <wp:extent cx="504825" cy="297180"/>
                  <wp:effectExtent l="0" t="0" r="9525" b="7620"/>
                  <wp:docPr id="1" name="图片 1" descr="C:\Users\Administrator\Desktop\临时文件\王多生签名-12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临时文件\王多生签名-12 - 副本.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1684" cy="33689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555"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姜  越</w:t>
            </w:r>
          </w:p>
        </w:tc>
        <w:tc>
          <w:tcPr>
            <w:tcW w:w="2126"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主审专家</w:t>
            </w:r>
          </w:p>
        </w:tc>
        <w:tc>
          <w:tcPr>
            <w:tcW w:w="1559"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地 环</w:t>
            </w:r>
          </w:p>
        </w:tc>
        <w:tc>
          <w:tcPr>
            <w:tcW w:w="2268"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高级工程师</w:t>
            </w:r>
          </w:p>
        </w:tc>
        <w:tc>
          <w:tcPr>
            <w:tcW w:w="2214"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drawing>
                <wp:anchor distT="0" distB="0" distL="114300" distR="114300" simplePos="0" relativeHeight="251659264" behindDoc="0" locked="0" layoutInCell="1" allowOverlap="1">
                  <wp:simplePos x="0" y="0"/>
                  <wp:positionH relativeFrom="column">
                    <wp:posOffset>180975</wp:posOffset>
                  </wp:positionH>
                  <wp:positionV relativeFrom="paragraph">
                    <wp:posOffset>9525</wp:posOffset>
                  </wp:positionV>
                  <wp:extent cx="742950" cy="459740"/>
                  <wp:effectExtent l="0" t="0" r="0" b="16510"/>
                  <wp:wrapNone/>
                  <wp:docPr id="2" name="图片 2" descr="姜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姜越"/>
                          <pic:cNvPicPr>
                            <a:picLocks noChangeAspect="1"/>
                          </pic:cNvPicPr>
                        </pic:nvPicPr>
                        <pic:blipFill>
                          <a:blip r:embed="rId7"/>
                          <a:stretch>
                            <a:fillRect/>
                          </a:stretch>
                        </pic:blipFill>
                        <pic:spPr>
                          <a:xfrm>
                            <a:off x="0" y="0"/>
                            <a:ext cx="742950" cy="459740"/>
                          </a:xfrm>
                          <a:prstGeom prst="rect">
                            <a:avLst/>
                          </a:prstGeom>
                        </pic:spPr>
                      </pic:pic>
                    </a:graphicData>
                  </a:graphic>
                </wp:anchor>
              </w:drawing>
            </w:r>
            <w:r>
              <w:rPr>
                <w:rFonts w:hint="eastAsia" w:ascii="仿宋" w:hAnsi="仿宋" w:eastAsia="仿宋"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林  涛</w:t>
            </w:r>
          </w:p>
        </w:tc>
        <w:tc>
          <w:tcPr>
            <w:tcW w:w="2126"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主审专家</w:t>
            </w:r>
          </w:p>
        </w:tc>
        <w:tc>
          <w:tcPr>
            <w:tcW w:w="1559"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土 地</w:t>
            </w:r>
          </w:p>
        </w:tc>
        <w:tc>
          <w:tcPr>
            <w:tcW w:w="2268"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高级工程师</w:t>
            </w:r>
          </w:p>
        </w:tc>
        <w:tc>
          <w:tcPr>
            <w:tcW w:w="2214" w:type="dxa"/>
            <w:vAlign w:val="center"/>
          </w:tcPr>
          <w:p>
            <w:pPr>
              <w:widowControl w:val="0"/>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drawing>
                <wp:anchor distT="0" distB="0" distL="114300" distR="114300" simplePos="0" relativeHeight="251660288" behindDoc="0" locked="0" layoutInCell="1" allowOverlap="1">
                  <wp:simplePos x="0" y="0"/>
                  <wp:positionH relativeFrom="column">
                    <wp:posOffset>227965</wp:posOffset>
                  </wp:positionH>
                  <wp:positionV relativeFrom="paragraph">
                    <wp:posOffset>114935</wp:posOffset>
                  </wp:positionV>
                  <wp:extent cx="810895" cy="233045"/>
                  <wp:effectExtent l="0" t="0" r="8255" b="14605"/>
                  <wp:wrapNone/>
                  <wp:docPr id="3" name="图片 3" descr="林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涛"/>
                          <pic:cNvPicPr>
                            <a:picLocks noChangeAspect="1"/>
                          </pic:cNvPicPr>
                        </pic:nvPicPr>
                        <pic:blipFill>
                          <a:blip r:embed="rId8"/>
                          <a:stretch>
                            <a:fillRect/>
                          </a:stretch>
                        </pic:blipFill>
                        <pic:spPr>
                          <a:xfrm>
                            <a:off x="0" y="0"/>
                            <a:ext cx="810895" cy="23304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陈红霞</w:t>
            </w:r>
          </w:p>
        </w:tc>
        <w:tc>
          <w:tcPr>
            <w:tcW w:w="2126"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主审专家</w:t>
            </w:r>
          </w:p>
        </w:tc>
        <w:tc>
          <w:tcPr>
            <w:tcW w:w="1559"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经 济</w:t>
            </w:r>
          </w:p>
        </w:tc>
        <w:tc>
          <w:tcPr>
            <w:tcW w:w="2268"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高级经济师</w:t>
            </w:r>
          </w:p>
        </w:tc>
        <w:tc>
          <w:tcPr>
            <w:tcW w:w="2214" w:type="dxa"/>
            <w:vAlign w:val="center"/>
          </w:tcPr>
          <w:p>
            <w:pPr>
              <w:widowControl w:val="0"/>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drawing>
                <wp:anchor distT="0" distB="0" distL="114300" distR="114300" simplePos="0" relativeHeight="251661312" behindDoc="0" locked="0" layoutInCell="1" allowOverlap="1">
                  <wp:simplePos x="0" y="0"/>
                  <wp:positionH relativeFrom="column">
                    <wp:posOffset>237490</wp:posOffset>
                  </wp:positionH>
                  <wp:positionV relativeFrom="paragraph">
                    <wp:posOffset>99060</wp:posOffset>
                  </wp:positionV>
                  <wp:extent cx="859790" cy="308610"/>
                  <wp:effectExtent l="0" t="0" r="16510" b="15240"/>
                  <wp:wrapNone/>
                  <wp:docPr id="4" name="图片 4" descr="陈红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陈红霞"/>
                          <pic:cNvPicPr>
                            <a:picLocks noChangeAspect="1"/>
                          </pic:cNvPicPr>
                        </pic:nvPicPr>
                        <pic:blipFill>
                          <a:blip r:embed="rId9"/>
                          <a:stretch>
                            <a:fillRect/>
                          </a:stretch>
                        </pic:blipFill>
                        <pic:spPr>
                          <a:xfrm>
                            <a:off x="0" y="0"/>
                            <a:ext cx="859790" cy="3086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刘湘茹</w:t>
            </w:r>
          </w:p>
        </w:tc>
        <w:tc>
          <w:tcPr>
            <w:tcW w:w="2126"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评审专家</w:t>
            </w:r>
          </w:p>
        </w:tc>
        <w:tc>
          <w:tcPr>
            <w:tcW w:w="1559"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土 地</w:t>
            </w:r>
          </w:p>
        </w:tc>
        <w:tc>
          <w:tcPr>
            <w:tcW w:w="2268" w:type="dxa"/>
            <w:vAlign w:val="center"/>
          </w:tcPr>
          <w:p>
            <w:pPr>
              <w:widowControl w:val="0"/>
              <w:jc w:val="center"/>
              <w:rPr>
                <w:rFonts w:ascii="仿宋" w:hAnsi="仿宋" w:eastAsia="仿宋" w:cs="Times New Roman"/>
                <w:sz w:val="28"/>
                <w:szCs w:val="28"/>
              </w:rPr>
            </w:pPr>
            <w:r>
              <w:rPr>
                <w:rFonts w:hint="eastAsia" w:ascii="仿宋" w:hAnsi="仿宋" w:eastAsia="仿宋" w:cs="Times New Roman"/>
                <w:sz w:val="28"/>
                <w:szCs w:val="28"/>
              </w:rPr>
              <w:t>高级工程师</w:t>
            </w:r>
          </w:p>
        </w:tc>
        <w:tc>
          <w:tcPr>
            <w:tcW w:w="2214" w:type="dxa"/>
            <w:vAlign w:val="center"/>
          </w:tcPr>
          <w:p>
            <w:pPr>
              <w:widowControl w:val="0"/>
              <w:jc w:val="center"/>
              <w:rPr>
                <w:rFonts w:ascii="仿宋" w:hAnsi="仿宋" w:eastAsia="仿宋" w:cs="Times New Roman"/>
                <w:sz w:val="28"/>
                <w:szCs w:val="28"/>
              </w:rPr>
            </w:pPr>
            <w:r>
              <w:drawing>
                <wp:anchor distT="0" distB="0" distL="0" distR="0" simplePos="0" relativeHeight="251662336" behindDoc="0" locked="0" layoutInCell="1" allowOverlap="1">
                  <wp:simplePos x="0" y="0"/>
                  <wp:positionH relativeFrom="column">
                    <wp:posOffset>234315</wp:posOffset>
                  </wp:positionH>
                  <wp:positionV relativeFrom="paragraph">
                    <wp:posOffset>60325</wp:posOffset>
                  </wp:positionV>
                  <wp:extent cx="782955" cy="298450"/>
                  <wp:effectExtent l="0" t="0" r="17145" b="6350"/>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10" cstate="print"/>
                          <a:srcRect/>
                          <a:stretch>
                            <a:fillRect/>
                          </a:stretch>
                        </pic:blipFill>
                        <pic:spPr>
                          <a:xfrm>
                            <a:off x="0" y="0"/>
                            <a:ext cx="782955" cy="298450"/>
                          </a:xfrm>
                          <a:prstGeom prst="rect">
                            <a:avLst/>
                          </a:prstGeom>
                          <a:ln>
                            <a:noFill/>
                          </a:ln>
                        </pic:spPr>
                      </pic:pic>
                    </a:graphicData>
                  </a:graphic>
                </wp:anchor>
              </w:drawing>
            </w:r>
          </w:p>
        </w:tc>
      </w:tr>
    </w:tbl>
    <w:p>
      <w:pPr>
        <w:pStyle w:val="5"/>
        <w:rPr>
          <w:rFonts w:hint="eastAsia"/>
          <w:lang w:val="en-US" w:eastAsia="zh-CN"/>
        </w:rPr>
      </w:pPr>
    </w:p>
    <w:p>
      <w:pPr>
        <w:pStyle w:val="5"/>
        <w:rPr>
          <w:rFonts w:hint="default" w:eastAsia="宋体"/>
          <w:lang w:val="en-US" w:eastAsia="zh-CN"/>
        </w:rPr>
      </w:pPr>
      <w:r>
        <w:rPr>
          <w:rFonts w:hint="eastAsia" w:ascii="宋体" w:hAnsi="宋体" w:eastAsia="宋体" w:cs="宋体"/>
          <w:color w:val="auto"/>
          <w:sz w:val="28"/>
          <w:szCs w:val="28"/>
          <w:lang w:val="en-US" w:eastAsia="zh-CN"/>
        </w:rPr>
        <w:t xml:space="preserve">                                        </w:t>
      </w:r>
    </w:p>
    <w:p>
      <w:pPr>
        <w:pStyle w:val="14"/>
      </w:pPr>
    </w:p>
    <w:sectPr>
      <w:footerReference r:id="rId4" w:type="default"/>
      <w:pgSz w:w="11907" w:h="16839"/>
      <w:pgMar w:top="1423" w:right="1414" w:bottom="1344" w:left="1428" w:header="0" w:footer="850" w:gutter="0"/>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10</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9CCA7"/>
    <w:multiLevelType w:val="singleLevel"/>
    <w:tmpl w:val="2AD9CCA7"/>
    <w:lvl w:ilvl="0" w:tentative="0">
      <w:start w:val="2"/>
      <w:numFmt w:val="decimal"/>
      <w:suff w:val="nothing"/>
      <w:lvlText w:val="（%1）"/>
      <w:lvlJc w:val="left"/>
    </w:lvl>
  </w:abstractNum>
  <w:abstractNum w:abstractNumId="1">
    <w:nsid w:val="466C27CB"/>
    <w:multiLevelType w:val="singleLevel"/>
    <w:tmpl w:val="466C27CB"/>
    <w:lvl w:ilvl="0" w:tentative="0">
      <w:start w:val="1"/>
      <w:numFmt w:val="decimal"/>
      <w:pStyle w:val="8"/>
      <w:lvlText w:val="%1."/>
      <w:lvlJc w:val="left"/>
      <w:pPr>
        <w:tabs>
          <w:tab w:val="left" w:pos="2040"/>
        </w:tabs>
        <w:ind w:left="2040" w:hanging="360"/>
      </w:pPr>
    </w:lvl>
  </w:abstractNum>
  <w:abstractNum w:abstractNumId="2">
    <w:nsid w:val="60270E46"/>
    <w:multiLevelType w:val="multilevel"/>
    <w:tmpl w:val="60270E46"/>
    <w:lvl w:ilvl="0" w:tentative="0">
      <w:start w:val="1"/>
      <w:numFmt w:val="decimal"/>
      <w:lvlText w:val="%1、"/>
      <w:lvlJc w:val="left"/>
      <w:pPr>
        <w:ind w:left="1010" w:hanging="45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YjAyNDQxZjQyODFiMWRkMTk2YjNkNzJlNjQ1YmUifQ=="/>
  </w:docVars>
  <w:rsids>
    <w:rsidRoot w:val="00282FBF"/>
    <w:rsid w:val="000F188C"/>
    <w:rsid w:val="00282FBF"/>
    <w:rsid w:val="005D1BDA"/>
    <w:rsid w:val="006360BD"/>
    <w:rsid w:val="00B83CE8"/>
    <w:rsid w:val="01EC5C3E"/>
    <w:rsid w:val="02497E55"/>
    <w:rsid w:val="036053A8"/>
    <w:rsid w:val="04F70F05"/>
    <w:rsid w:val="055406CA"/>
    <w:rsid w:val="05F96BD7"/>
    <w:rsid w:val="085423A5"/>
    <w:rsid w:val="08BD6586"/>
    <w:rsid w:val="093F0D49"/>
    <w:rsid w:val="094D7B85"/>
    <w:rsid w:val="0BAD643E"/>
    <w:rsid w:val="0BCD4D32"/>
    <w:rsid w:val="0C1F5162"/>
    <w:rsid w:val="0CA35A93"/>
    <w:rsid w:val="0D3C216F"/>
    <w:rsid w:val="0D7658A8"/>
    <w:rsid w:val="0DB344A0"/>
    <w:rsid w:val="0F54184E"/>
    <w:rsid w:val="0FFE6E20"/>
    <w:rsid w:val="102B0279"/>
    <w:rsid w:val="10376C1E"/>
    <w:rsid w:val="116E041E"/>
    <w:rsid w:val="12B97DBE"/>
    <w:rsid w:val="14BE16BC"/>
    <w:rsid w:val="166C5148"/>
    <w:rsid w:val="1781674E"/>
    <w:rsid w:val="17B648CC"/>
    <w:rsid w:val="1800023D"/>
    <w:rsid w:val="195A58EC"/>
    <w:rsid w:val="198D0DE4"/>
    <w:rsid w:val="1AF4232C"/>
    <w:rsid w:val="1B520DB0"/>
    <w:rsid w:val="1B740D26"/>
    <w:rsid w:val="1B7C407F"/>
    <w:rsid w:val="1BC51582"/>
    <w:rsid w:val="1C204A0A"/>
    <w:rsid w:val="1C8E5E18"/>
    <w:rsid w:val="1D3F35B6"/>
    <w:rsid w:val="1E3D10C6"/>
    <w:rsid w:val="1E401394"/>
    <w:rsid w:val="1E715BD5"/>
    <w:rsid w:val="1EE93F5A"/>
    <w:rsid w:val="1FFE1121"/>
    <w:rsid w:val="20140952"/>
    <w:rsid w:val="201717AF"/>
    <w:rsid w:val="20FA1CCE"/>
    <w:rsid w:val="2217240B"/>
    <w:rsid w:val="222A213F"/>
    <w:rsid w:val="230A01C2"/>
    <w:rsid w:val="238E2BA1"/>
    <w:rsid w:val="242B219E"/>
    <w:rsid w:val="254554E2"/>
    <w:rsid w:val="27541A0C"/>
    <w:rsid w:val="29A61126"/>
    <w:rsid w:val="29CD00D7"/>
    <w:rsid w:val="2A3B4D90"/>
    <w:rsid w:val="2A622692"/>
    <w:rsid w:val="2ADF5B2F"/>
    <w:rsid w:val="2AF552B4"/>
    <w:rsid w:val="2B0A7771"/>
    <w:rsid w:val="2B37083B"/>
    <w:rsid w:val="2C4C53A8"/>
    <w:rsid w:val="2D5C786C"/>
    <w:rsid w:val="2D7D170C"/>
    <w:rsid w:val="2ED3590C"/>
    <w:rsid w:val="2F9D09D5"/>
    <w:rsid w:val="306B48A7"/>
    <w:rsid w:val="30A80FEA"/>
    <w:rsid w:val="30BA6D84"/>
    <w:rsid w:val="30D64D73"/>
    <w:rsid w:val="328E2276"/>
    <w:rsid w:val="342B1BA2"/>
    <w:rsid w:val="350902DA"/>
    <w:rsid w:val="352549E8"/>
    <w:rsid w:val="35A87AF3"/>
    <w:rsid w:val="366C6D72"/>
    <w:rsid w:val="368239FC"/>
    <w:rsid w:val="36C7275E"/>
    <w:rsid w:val="37C91FA2"/>
    <w:rsid w:val="3A116DB8"/>
    <w:rsid w:val="3A40479E"/>
    <w:rsid w:val="3B0C643A"/>
    <w:rsid w:val="3C683636"/>
    <w:rsid w:val="3D065797"/>
    <w:rsid w:val="3D1912D6"/>
    <w:rsid w:val="3D6267D9"/>
    <w:rsid w:val="3D6D56CD"/>
    <w:rsid w:val="3DF80EEB"/>
    <w:rsid w:val="3EDE3040"/>
    <w:rsid w:val="3FF102E8"/>
    <w:rsid w:val="404A471C"/>
    <w:rsid w:val="41597EF3"/>
    <w:rsid w:val="41C757A4"/>
    <w:rsid w:val="42E0353C"/>
    <w:rsid w:val="44A771C7"/>
    <w:rsid w:val="44C41978"/>
    <w:rsid w:val="4555389F"/>
    <w:rsid w:val="46D87B0C"/>
    <w:rsid w:val="478A2F33"/>
    <w:rsid w:val="47E0311C"/>
    <w:rsid w:val="48956721"/>
    <w:rsid w:val="49F42EAF"/>
    <w:rsid w:val="4BAE583F"/>
    <w:rsid w:val="4BB23021"/>
    <w:rsid w:val="4C1C049B"/>
    <w:rsid w:val="4CB070AD"/>
    <w:rsid w:val="4DC66910"/>
    <w:rsid w:val="4E994025"/>
    <w:rsid w:val="4EB726FD"/>
    <w:rsid w:val="4EB8094F"/>
    <w:rsid w:val="4ECF7A46"/>
    <w:rsid w:val="4FEC63D6"/>
    <w:rsid w:val="50506965"/>
    <w:rsid w:val="51E732F9"/>
    <w:rsid w:val="527F26E5"/>
    <w:rsid w:val="54AC165A"/>
    <w:rsid w:val="54BA5536"/>
    <w:rsid w:val="54C64399"/>
    <w:rsid w:val="56A63783"/>
    <w:rsid w:val="57370F0E"/>
    <w:rsid w:val="57E26A3C"/>
    <w:rsid w:val="58405511"/>
    <w:rsid w:val="58A73841"/>
    <w:rsid w:val="58B8779D"/>
    <w:rsid w:val="593E7CA2"/>
    <w:rsid w:val="59A862A5"/>
    <w:rsid w:val="5A501D40"/>
    <w:rsid w:val="5AAC09A1"/>
    <w:rsid w:val="5B062A42"/>
    <w:rsid w:val="5B5F03A4"/>
    <w:rsid w:val="5C0B78BE"/>
    <w:rsid w:val="5C3464F9"/>
    <w:rsid w:val="5C6519EA"/>
    <w:rsid w:val="5DA622BA"/>
    <w:rsid w:val="5DAF5613"/>
    <w:rsid w:val="5DCD16CD"/>
    <w:rsid w:val="5DD9443E"/>
    <w:rsid w:val="5E363910"/>
    <w:rsid w:val="5EEA61D6"/>
    <w:rsid w:val="5F30008D"/>
    <w:rsid w:val="5F85487D"/>
    <w:rsid w:val="5FE3302B"/>
    <w:rsid w:val="608773F7"/>
    <w:rsid w:val="61EE3D52"/>
    <w:rsid w:val="62133014"/>
    <w:rsid w:val="62422092"/>
    <w:rsid w:val="6393330E"/>
    <w:rsid w:val="68563743"/>
    <w:rsid w:val="686C58FC"/>
    <w:rsid w:val="6A813E93"/>
    <w:rsid w:val="6DCD73EF"/>
    <w:rsid w:val="6ECD3B4B"/>
    <w:rsid w:val="6F6C0107"/>
    <w:rsid w:val="6F7C731F"/>
    <w:rsid w:val="71CA4371"/>
    <w:rsid w:val="73814F04"/>
    <w:rsid w:val="73B726D3"/>
    <w:rsid w:val="73F90F3E"/>
    <w:rsid w:val="75E432B8"/>
    <w:rsid w:val="75FE6CDF"/>
    <w:rsid w:val="760B69A6"/>
    <w:rsid w:val="762322A2"/>
    <w:rsid w:val="762A53DF"/>
    <w:rsid w:val="764A782F"/>
    <w:rsid w:val="766F7295"/>
    <w:rsid w:val="7812295F"/>
    <w:rsid w:val="78146346"/>
    <w:rsid w:val="78852DA0"/>
    <w:rsid w:val="78E75809"/>
    <w:rsid w:val="7992564E"/>
    <w:rsid w:val="79F7779D"/>
    <w:rsid w:val="7A765096"/>
    <w:rsid w:val="7AE2540D"/>
    <w:rsid w:val="7BA07EF1"/>
    <w:rsid w:val="7BA760EB"/>
    <w:rsid w:val="7BEC1388"/>
    <w:rsid w:val="7BFB011F"/>
    <w:rsid w:val="7CF404F4"/>
    <w:rsid w:val="7CFB7AD5"/>
    <w:rsid w:val="7D2A0E01"/>
    <w:rsid w:val="7E14468F"/>
    <w:rsid w:val="7ECE7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3"/>
    <w:basedOn w:val="1"/>
    <w:next w:val="1"/>
    <w:link w:val="23"/>
    <w:qFormat/>
    <w:uiPriority w:val="0"/>
    <w:pPr>
      <w:keepNext/>
      <w:keepLines/>
      <w:widowControl w:val="0"/>
      <w:kinsoku/>
      <w:autoSpaceDE/>
      <w:autoSpaceDN/>
      <w:adjustRightInd/>
      <w:snapToGrid/>
      <w:spacing w:beforeLines="50" w:afterLines="50" w:line="500" w:lineRule="exact"/>
      <w:ind w:firstLine="561" w:firstLineChars="200"/>
      <w:jc w:val="both"/>
      <w:textAlignment w:val="auto"/>
      <w:outlineLvl w:val="2"/>
    </w:pPr>
    <w:rPr>
      <w:rFonts w:ascii="Times New Roman" w:hAnsi="Times New Roman" w:eastAsia="宋体" w:cs="Times New Roman"/>
      <w:b/>
      <w:bCs/>
      <w:snapToGrid/>
      <w:color w:val="auto"/>
      <w:kern w:val="2"/>
      <w:sz w:val="28"/>
      <w:szCs w:val="32"/>
    </w:rPr>
  </w:style>
  <w:style w:type="character" w:default="1" w:styleId="16">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宋体" w:hAnsi="宋体" w:eastAsia="宋体" w:cs="Times New Roman"/>
      <w:color w:val="000000"/>
      <w:sz w:val="24"/>
      <w:szCs w:val="24"/>
      <w:lang w:val="en-US" w:eastAsia="zh-CN" w:bidi="ar-SA"/>
    </w:rPr>
  </w:style>
  <w:style w:type="paragraph" w:styleId="4">
    <w:name w:val="Document Map"/>
    <w:basedOn w:val="1"/>
    <w:link w:val="24"/>
    <w:qFormat/>
    <w:uiPriority w:val="0"/>
    <w:rPr>
      <w:rFonts w:ascii="宋体" w:eastAsia="宋体"/>
      <w:sz w:val="18"/>
      <w:szCs w:val="18"/>
    </w:rPr>
  </w:style>
  <w:style w:type="paragraph" w:styleId="5">
    <w:name w:val="Body Text"/>
    <w:basedOn w:val="1"/>
    <w:next w:val="1"/>
    <w:link w:val="22"/>
    <w:qFormat/>
    <w:uiPriority w:val="0"/>
    <w:pPr>
      <w:spacing w:after="120"/>
    </w:pPr>
  </w:style>
  <w:style w:type="paragraph" w:styleId="6">
    <w:name w:val="Body Text Indent"/>
    <w:basedOn w:val="1"/>
    <w:next w:val="1"/>
    <w:qFormat/>
    <w:uiPriority w:val="99"/>
    <w:pPr>
      <w:spacing w:line="500" w:lineRule="exact"/>
      <w:ind w:firstLine="420" w:firstLineChars="200"/>
    </w:pPr>
    <w:rPr>
      <w:sz w:val="32"/>
      <w:szCs w:val="20"/>
    </w:rPr>
  </w:style>
  <w:style w:type="paragraph" w:styleId="7">
    <w:name w:val="Plain Text"/>
    <w:basedOn w:val="1"/>
    <w:next w:val="8"/>
    <w:qFormat/>
    <w:uiPriority w:val="0"/>
    <w:pPr>
      <w:jc w:val="both"/>
    </w:pPr>
    <w:rPr>
      <w:rFonts w:ascii="宋体" w:hAnsi="Courier New" w:cs="Times New Roman"/>
      <w:szCs w:val="20"/>
    </w:rPr>
  </w:style>
  <w:style w:type="paragraph" w:styleId="8">
    <w:name w:val="List Number 5"/>
    <w:basedOn w:val="1"/>
    <w:qFormat/>
    <w:uiPriority w:val="0"/>
    <w:pPr>
      <w:numPr>
        <w:ilvl w:val="0"/>
        <w:numId w:val="1"/>
      </w:numPr>
    </w:pPr>
  </w:style>
  <w:style w:type="paragraph" w:styleId="9">
    <w:name w:val="Balloon Text"/>
    <w:basedOn w:val="1"/>
    <w:link w:val="21"/>
    <w:autoRedefine/>
    <w:qFormat/>
    <w:uiPriority w:val="0"/>
    <w:rPr>
      <w:sz w:val="18"/>
      <w:szCs w:val="18"/>
    </w:rPr>
  </w:style>
  <w:style w:type="paragraph" w:styleId="10">
    <w:name w:val="footer"/>
    <w:basedOn w:val="1"/>
    <w:link w:val="19"/>
    <w:autoRedefine/>
    <w:qFormat/>
    <w:uiPriority w:val="99"/>
    <w:pPr>
      <w:tabs>
        <w:tab w:val="center" w:pos="4153"/>
        <w:tab w:val="right" w:pos="8306"/>
      </w:tabs>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12">
    <w:name w:val="List Continue 4"/>
    <w:basedOn w:val="1"/>
    <w:next w:val="1"/>
    <w:autoRedefine/>
    <w:qFormat/>
    <w:uiPriority w:val="0"/>
    <w:pPr>
      <w:widowControl w:val="0"/>
      <w:autoSpaceDE/>
      <w:autoSpaceDN/>
      <w:spacing w:after="120" w:line="360" w:lineRule="auto"/>
      <w:ind w:left="1680" w:firstLine="480"/>
      <w:jc w:val="both"/>
    </w:pPr>
    <w:rPr>
      <w:rFonts w:ascii="宋体" w:eastAsia="宋体"/>
      <w:sz w:val="24"/>
    </w:rPr>
  </w:style>
  <w:style w:type="paragraph" w:styleId="13">
    <w:name w:val="Body Text 2"/>
    <w:basedOn w:val="1"/>
    <w:autoRedefine/>
    <w:qFormat/>
    <w:uiPriority w:val="99"/>
    <w:pPr>
      <w:widowControl w:val="0"/>
      <w:spacing w:after="120" w:line="480" w:lineRule="auto"/>
      <w:jc w:val="both"/>
    </w:pPr>
    <w:rPr>
      <w:rFonts w:cs="Times New Roman"/>
      <w:sz w:val="24"/>
      <w:szCs w:val="24"/>
    </w:rPr>
  </w:style>
  <w:style w:type="paragraph" w:styleId="14">
    <w:name w:val="Body Text First Indent 2"/>
    <w:basedOn w:val="1"/>
    <w:next w:val="12"/>
    <w:autoRedefine/>
    <w:qFormat/>
    <w:uiPriority w:val="99"/>
    <w:pPr>
      <w:spacing w:after="120"/>
      <w:ind w:left="420" w:leftChars="200"/>
    </w:pPr>
  </w:style>
  <w:style w:type="table" w:customStyle="1" w:styleId="17">
    <w:name w:val="Table Normal"/>
    <w:autoRedefine/>
    <w:qFormat/>
    <w:uiPriority w:val="0"/>
    <w:tblPr>
      <w:tblCellMar>
        <w:top w:w="0" w:type="dxa"/>
        <w:left w:w="0" w:type="dxa"/>
        <w:bottom w:w="0" w:type="dxa"/>
        <w:right w:w="0" w:type="dxa"/>
      </w:tblCellMar>
    </w:tblPr>
  </w:style>
  <w:style w:type="character" w:customStyle="1" w:styleId="18">
    <w:name w:val="页眉 字符"/>
    <w:basedOn w:val="16"/>
    <w:link w:val="11"/>
    <w:autoRedefine/>
    <w:qFormat/>
    <w:uiPriority w:val="0"/>
    <w:rPr>
      <w:rFonts w:eastAsia="Arial"/>
      <w:snapToGrid w:val="0"/>
      <w:color w:val="000000"/>
      <w:sz w:val="18"/>
      <w:szCs w:val="18"/>
    </w:rPr>
  </w:style>
  <w:style w:type="character" w:customStyle="1" w:styleId="19">
    <w:name w:val="页脚 字符"/>
    <w:basedOn w:val="16"/>
    <w:link w:val="10"/>
    <w:autoRedefine/>
    <w:qFormat/>
    <w:uiPriority w:val="99"/>
    <w:rPr>
      <w:rFonts w:eastAsia="Arial"/>
      <w:snapToGrid w:val="0"/>
      <w:color w:val="000000"/>
      <w:sz w:val="18"/>
      <w:szCs w:val="18"/>
    </w:rPr>
  </w:style>
  <w:style w:type="paragraph" w:styleId="20">
    <w:name w:val="List Paragraph"/>
    <w:basedOn w:val="1"/>
    <w:autoRedefine/>
    <w:qFormat/>
    <w:uiPriority w:val="99"/>
    <w:pPr>
      <w:ind w:firstLine="420" w:firstLineChars="200"/>
    </w:pPr>
  </w:style>
  <w:style w:type="character" w:customStyle="1" w:styleId="21">
    <w:name w:val="批注框文本 字符"/>
    <w:basedOn w:val="16"/>
    <w:link w:val="9"/>
    <w:autoRedefine/>
    <w:qFormat/>
    <w:uiPriority w:val="0"/>
    <w:rPr>
      <w:rFonts w:eastAsia="Arial"/>
      <w:snapToGrid w:val="0"/>
      <w:color w:val="000000"/>
      <w:sz w:val="18"/>
      <w:szCs w:val="18"/>
    </w:rPr>
  </w:style>
  <w:style w:type="character" w:customStyle="1" w:styleId="22">
    <w:name w:val="正文文本 字符"/>
    <w:basedOn w:val="16"/>
    <w:link w:val="5"/>
    <w:autoRedefine/>
    <w:qFormat/>
    <w:uiPriority w:val="0"/>
    <w:rPr>
      <w:rFonts w:eastAsia="Arial"/>
      <w:snapToGrid w:val="0"/>
      <w:color w:val="000000"/>
      <w:sz w:val="21"/>
      <w:szCs w:val="21"/>
    </w:rPr>
  </w:style>
  <w:style w:type="character" w:customStyle="1" w:styleId="23">
    <w:name w:val="标题 3 字符"/>
    <w:basedOn w:val="16"/>
    <w:link w:val="3"/>
    <w:autoRedefine/>
    <w:qFormat/>
    <w:uiPriority w:val="0"/>
    <w:rPr>
      <w:rFonts w:ascii="Times New Roman" w:hAnsi="Times New Roman" w:cs="Times New Roman"/>
      <w:b/>
      <w:bCs/>
      <w:kern w:val="2"/>
      <w:sz w:val="28"/>
      <w:szCs w:val="32"/>
    </w:rPr>
  </w:style>
  <w:style w:type="character" w:customStyle="1" w:styleId="24">
    <w:name w:val="文档结构图 字符"/>
    <w:basedOn w:val="16"/>
    <w:link w:val="4"/>
    <w:autoRedefine/>
    <w:qFormat/>
    <w:uiPriority w:val="0"/>
    <w:rPr>
      <w:rFonts w:ascii="宋体"/>
      <w:snapToGrid w:val="0"/>
      <w:color w:val="000000"/>
      <w:sz w:val="18"/>
      <w:szCs w:val="18"/>
    </w:rPr>
  </w:style>
  <w:style w:type="paragraph" w:customStyle="1" w:styleId="25">
    <w:name w:val="别动"/>
    <w:basedOn w:val="26"/>
    <w:autoRedefine/>
    <w:qFormat/>
    <w:uiPriority w:val="0"/>
    <w:pPr>
      <w:spacing w:line="340" w:lineRule="exact"/>
    </w:pPr>
    <w:rPr>
      <w:rFonts w:ascii="Times New Roman" w:hAnsi="Times New Roman" w:eastAsia="宋体"/>
      <w:b w:val="0"/>
    </w:rPr>
  </w:style>
  <w:style w:type="paragraph" w:customStyle="1" w:styleId="26">
    <w:name w:val="表头"/>
    <w:basedOn w:val="27"/>
    <w:next w:val="25"/>
    <w:autoRedefine/>
    <w:qFormat/>
    <w:uiPriority w:val="99"/>
    <w:pPr>
      <w:ind w:firstLine="0" w:firstLineChars="0"/>
      <w:jc w:val="center"/>
      <w:outlineLvl w:val="3"/>
    </w:pPr>
    <w:rPr>
      <w:b/>
      <w:sz w:val="21"/>
    </w:rPr>
  </w:style>
  <w:style w:type="paragraph" w:customStyle="1" w:styleId="27">
    <w:name w:val="样式1"/>
    <w:basedOn w:val="1"/>
    <w:autoRedefine/>
    <w:qFormat/>
    <w:uiPriority w:val="99"/>
    <w:pPr>
      <w:widowControl w:val="0"/>
      <w:spacing w:line="500" w:lineRule="exact"/>
      <w:ind w:firstLine="200" w:firstLineChars="200"/>
      <w:jc w:val="both"/>
    </w:pPr>
    <w:rPr>
      <w:rFonts w:eastAsia="华文中宋" w:cs="Times New Roman"/>
      <w:sz w:val="24"/>
      <w:szCs w:val="20"/>
    </w:rPr>
  </w:style>
  <w:style w:type="paragraph" w:customStyle="1" w:styleId="28">
    <w:name w:val="样式11"/>
    <w:basedOn w:val="1"/>
    <w:autoRedefine/>
    <w:qFormat/>
    <w:uiPriority w:val="99"/>
  </w:style>
  <w:style w:type="paragraph" w:customStyle="1" w:styleId="29">
    <w:name w:val="1890煤矿5"/>
    <w:basedOn w:val="1"/>
    <w:autoRedefine/>
    <w:qFormat/>
    <w:uiPriority w:val="0"/>
    <w:pPr>
      <w:spacing w:line="280" w:lineRule="exact"/>
      <w:jc w:val="center"/>
    </w:pPr>
    <w:rPr>
      <w:rFonts w:eastAsia="华文中宋" w:cs="Times New Roman"/>
      <w:color w:val="0070C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A6E73-7E95-49E1-8A99-041718C401B1}">
  <ds:schemaRefs/>
</ds:datastoreItem>
</file>

<file path=docProps/app.xml><?xml version="1.0" encoding="utf-8"?>
<Properties xmlns="http://schemas.openxmlformats.org/officeDocument/2006/extended-properties" xmlns:vt="http://schemas.openxmlformats.org/officeDocument/2006/docPropsVTypes">
  <Template>Normal</Template>
  <Pages>13</Pages>
  <Words>5913</Words>
  <Characters>6623</Characters>
  <Lines>39</Lines>
  <Paragraphs>11</Paragraphs>
  <TotalTime>2</TotalTime>
  <ScaleCrop>false</ScaleCrop>
  <LinksUpToDate>false</LinksUpToDate>
  <CharactersWithSpaces>6792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喜文</cp:lastModifiedBy>
  <dcterms:modified xsi:type="dcterms:W3CDTF">2024-07-15T03:11:37Z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2052-12.1.0.16729</vt:lpwstr>
  </property>
  <property fmtid="{D5CDD505-2E9C-101B-9397-08002B2CF9AE}" pid="5" name="ICV">
    <vt:lpwstr>95592333FE18400EBFE8BC923B90C2D7</vt:lpwstr>
  </property>
</Properties>
</file>