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spacing w:line="540" w:lineRule="exact"/>
        <w:jc w:val="center"/>
        <w:rPr>
          <w:rFonts w:ascii="Times New Roman" w:eastAsia="方正小标宋_GBK" w:hAnsi="Times New Roman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百泉镇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政府信息公开工作2020年度报告</w:t>
      </w:r>
    </w:p>
    <w:p>
      <w:pPr>
        <w:spacing w:line="54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一、总体情况</w:t>
      </w:r>
    </w:p>
    <w:p>
      <w:pPr>
        <w:pStyle w:val="NormalWeb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ascii="仿宋_GB2312" w:eastAsia="仿宋_GB2312" w:hAnsi="Times New Roman" w:cs="仿宋_GB2312" w:hint="eastAsia"/>
          <w:i w:val="0"/>
          <w:caps w:val="0"/>
          <w:color w:val="424242"/>
          <w:spacing w:val="0"/>
          <w:sz w:val="31"/>
          <w:szCs w:val="31"/>
          <w:shd w:val="clear" w:color="auto" w:fill="FFFFFF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424242"/>
          <w:spacing w:val="0"/>
          <w:sz w:val="31"/>
          <w:szCs w:val="31"/>
          <w:shd w:val="clear" w:color="auto" w:fill="FFFFFF"/>
          <w:lang w:val="en-US" w:eastAsia="zh-CN"/>
        </w:rPr>
        <w:t>2020</w:t>
      </w:r>
      <w:r>
        <w:rPr>
          <w:rFonts w:ascii="仿宋_GB2312" w:eastAsia="仿宋_GB2312" w:hAnsi="Times New Roman" w:cs="仿宋_GB2312" w:hint="default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年，</w:t>
      </w:r>
      <w:r>
        <w:rPr>
          <w:rFonts w:ascii="仿宋_GB2312" w:eastAsia="仿宋_GB2312" w:hAnsi="Times New Roman" w:cs="仿宋_GB2312" w:hint="eastAsia"/>
          <w:i w:val="0"/>
          <w:caps w:val="0"/>
          <w:color w:val="424242"/>
          <w:spacing w:val="0"/>
          <w:sz w:val="31"/>
          <w:szCs w:val="31"/>
          <w:shd w:val="clear" w:color="auto" w:fill="FFFFFF"/>
          <w:lang w:eastAsia="zh-CN"/>
        </w:rPr>
        <w:t>百泉镇</w:t>
      </w:r>
      <w:r>
        <w:rPr>
          <w:rFonts w:ascii="仿宋_GB2312" w:eastAsia="仿宋_GB2312" w:hAnsi="Times New Roman" w:cs="仿宋_GB2312" w:hint="default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按照相关规定，加强政府信息管理。</w:t>
      </w:r>
      <w:r>
        <w:rPr>
          <w:rFonts w:ascii="仿宋_GB2312" w:eastAsia="仿宋_GB2312" w:hAnsi="Times New Roman" w:cs="仿宋_GB2312" w:hint="default"/>
          <w:b/>
          <w:bCs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一是明确信息负责单位，督察信息发布更新。</w:t>
      </w:r>
      <w:r>
        <w:rPr>
          <w:rFonts w:ascii="仿宋_GB2312" w:eastAsia="仿宋_GB2312" w:hAnsi="Times New Roman" w:cs="仿宋_GB2312" w:hint="eastAsia"/>
          <w:i w:val="0"/>
          <w:caps w:val="0"/>
          <w:color w:val="424242"/>
          <w:spacing w:val="0"/>
          <w:sz w:val="31"/>
          <w:szCs w:val="31"/>
          <w:shd w:val="clear" w:color="auto" w:fill="FFFFFF"/>
          <w:lang w:eastAsia="zh-CN"/>
        </w:rPr>
        <w:t>百泉镇</w:t>
      </w:r>
      <w:r>
        <w:rPr>
          <w:rFonts w:ascii="仿宋_GB2312" w:eastAsia="仿宋_GB2312" w:hAnsi="Times New Roman" w:cs="仿宋_GB2312" w:hint="default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全面梳理政府信息，逐项明确责任单位，制定工作制度，定岗定责，要求各单位按照规定及时更新公开信息，提高信息的时效性、准确性。</w:t>
      </w:r>
      <w:r>
        <w:rPr>
          <w:rFonts w:ascii="仿宋_GB2312" w:eastAsia="仿宋_GB2312" w:hAnsi="Times New Roman" w:cs="仿宋_GB2312" w:hint="default"/>
          <w:b/>
          <w:bCs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二是规范信息发布流程，严格落实审批监管。</w:t>
      </w:r>
      <w:r>
        <w:rPr>
          <w:rFonts w:ascii="仿宋_GB2312" w:eastAsia="仿宋_GB2312" w:hAnsi="Times New Roman" w:cs="仿宋_GB2312" w:hint="eastAsia"/>
          <w:i w:val="0"/>
          <w:caps w:val="0"/>
          <w:color w:val="424242"/>
          <w:spacing w:val="0"/>
          <w:sz w:val="31"/>
          <w:szCs w:val="31"/>
          <w:shd w:val="clear" w:color="auto" w:fill="FFFFFF"/>
          <w:lang w:eastAsia="zh-CN"/>
        </w:rPr>
        <w:t>百泉镇</w:t>
      </w:r>
      <w:r>
        <w:rPr>
          <w:rFonts w:ascii="仿宋_GB2312" w:eastAsia="仿宋_GB2312" w:hAnsi="Times New Roman" w:cs="仿宋_GB2312" w:hint="default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制定了《</w:t>
      </w:r>
      <w:r>
        <w:rPr>
          <w:rFonts w:ascii="仿宋_GB2312" w:eastAsia="仿宋_GB2312" w:hAnsi="Times New Roman" w:cs="仿宋_GB2312" w:hint="eastAsia"/>
          <w:i w:val="0"/>
          <w:caps w:val="0"/>
          <w:color w:val="424242"/>
          <w:spacing w:val="0"/>
          <w:sz w:val="31"/>
          <w:szCs w:val="31"/>
          <w:shd w:val="clear" w:color="auto" w:fill="FFFFFF"/>
          <w:lang w:eastAsia="zh-CN"/>
        </w:rPr>
        <w:t>百泉镇</w:t>
      </w:r>
      <w:r>
        <w:rPr>
          <w:rFonts w:ascii="仿宋_GB2312" w:eastAsia="仿宋_GB2312" w:hAnsi="Times New Roman" w:cs="仿宋_GB2312" w:hint="default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政府信息公开申请表》，规范通知公告类信息发布流程，发布信息经单位负责人、镇分管领导逐级审查，并由镇党政办进行保密审查和内容核查，确定符合发布要求后在政府网站予以公开。</w:t>
      </w:r>
      <w:r>
        <w:rPr>
          <w:rFonts w:ascii="仿宋_GB2312" w:eastAsia="仿宋_GB2312" w:hAnsi="Times New Roman" w:cs="仿宋_GB2312" w:hint="default"/>
          <w:b/>
          <w:bCs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三是统筹全镇政务公开，及时准确更新信息。</w:t>
      </w:r>
      <w:r>
        <w:rPr>
          <w:rFonts w:ascii="仿宋_GB2312" w:eastAsia="仿宋_GB2312" w:hAnsi="Times New Roman" w:cs="仿宋_GB2312" w:hint="default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由镇党政办牵头负责，统筹全镇各单位政务公开栏的设置、使用、管理，张贴内容经逐级审批后存档备案，确保公开栏上的政府信息及时准确。</w:t>
      </w:r>
    </w:p>
    <w:p>
      <w:pPr>
        <w:pStyle w:val="NormalWeb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本年度</w:t>
      </w:r>
      <w:r>
        <w:rPr>
          <w:rFonts w:ascii="Times New Roman" w:eastAsia="仿宋_GB2312" w:hAnsi="Times New Roman" w:cs="宋体" w:hint="eastAsia"/>
          <w:sz w:val="32"/>
          <w:szCs w:val="32"/>
        </w:rPr>
        <w:t>，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镇政府</w:t>
      </w:r>
      <w:r>
        <w:rPr>
          <w:rFonts w:ascii="Times New Roman" w:eastAsia="仿宋_GB2312" w:hAnsi="Times New Roman" w:cs="宋体" w:hint="eastAsia"/>
          <w:sz w:val="32"/>
          <w:szCs w:val="32"/>
        </w:rPr>
        <w:t>没有依申请公开政府信息和不予公开政府信息情况，没有发生政府信息公开的收费及减免，政府信息公开工作没有公众举报、投诉，未发生政府信息公开方面行政复议、行政诉讼。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二、主动公开政府信息情况</w:t>
      </w:r>
    </w:p>
    <w:p>
      <w:pPr>
        <w:pStyle w:val="NormalWeb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Style w:val="TableNormal"/>
        <w:tblW w:w="847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289"/>
        <w:gridCol w:w="2126"/>
        <w:gridCol w:w="1924"/>
      </w:tblGrid>
      <w:tr>
        <w:tblPrEx>
          <w:tblW w:w="8476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第二十条第（一）项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/>
          <w:jc w:val="center"/>
        </w:trPr>
        <w:tc>
          <w:tcPr>
            <w:tcW w:w="2137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制作数量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公开数量</w:t>
            </w:r>
          </w:p>
        </w:tc>
        <w:tc>
          <w:tcPr>
            <w:tcW w:w="1924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对外公开总数量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规章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规范性文件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eastAsia="宋体" w:hAnsi="Times New Roman" w:hint="eastAsia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val="en-US" w:eastAsia="zh-CN"/>
              </w:rPr>
              <w:t>1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eastAsia="宋体" w:hAnsi="Times New Roman" w:hint="eastAsia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val="en-US" w:eastAsia="zh-CN"/>
              </w:rPr>
              <w:t>1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eastAsia="宋体" w:hAnsi="Times New Roman" w:hint="eastAsia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第二十条第（五）项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本年增/减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行政许可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其他对外管理服务事项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第二十条第（六）项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本年增/减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行政处罚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行政强制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第二十条第（八）项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4050" w:type="dxa"/>
            <w:gridSpan w:val="2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本年增/减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行政事业性收费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第二十条第（九）项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采购项目数量</w:t>
            </w:r>
          </w:p>
        </w:tc>
        <w:tc>
          <w:tcPr>
            <w:tcW w:w="4050" w:type="dxa"/>
            <w:gridSpan w:val="2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采购总金额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政府集中采购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</w:tbl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黑体" w:hAnsi="Times New Roman" w:cs="宋体"/>
          <w:sz w:val="32"/>
          <w:szCs w:val="30"/>
        </w:rPr>
      </w:pPr>
      <w:r>
        <w:rPr>
          <w:rFonts w:ascii="Times New Roman" w:eastAsia="黑体" w:hAnsi="Times New Roman" w:cs="宋体" w:hint="eastAsia"/>
          <w:sz w:val="32"/>
          <w:szCs w:val="30"/>
        </w:rPr>
        <w:t>三、收到和处理政府信息公开申请情况</w:t>
      </w:r>
    </w:p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Style w:val="TableNormal"/>
        <w:tblW w:w="921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W w:w="9214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  <w:jc w:val="center"/>
        </w:trPr>
        <w:tc>
          <w:tcPr>
            <w:tcW w:w="5010" w:type="dxa"/>
            <w:gridSpan w:val="3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（本列数据的勾稽关系为</w:t>
            </w:r>
            <w:bookmarkStart w:id="0" w:name="_GoBack"/>
            <w:bookmarkEnd w:id="0"/>
            <w:r>
              <w:rPr>
                <w:rFonts w:ascii="Times New Roman" w:hAnsi="Times New Roman" w:cs="宋体" w:hint="eastAsia"/>
                <w:kern w:val="0"/>
                <w:sz w:val="24"/>
              </w:rPr>
              <w:t>：第一项加第二项之和，等于第三项加第四项之和）</w:t>
            </w:r>
          </w:p>
        </w:tc>
        <w:tc>
          <w:tcPr>
            <w:tcW w:w="4204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申请人情况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697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（六）其他处理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</w:tbl>
    <w:p>
      <w:pPr>
        <w:spacing w:line="540" w:lineRule="exact"/>
        <w:ind w:firstLine="637" w:firstLineChars="199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四、政府信息公开行政复议、行政诉讼情况</w:t>
      </w:r>
    </w:p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Style w:val="TableNormal"/>
        <w:tblW w:w="942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W w:w="9427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3695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行政诉讼</w:t>
            </w:r>
          </w:p>
        </w:tc>
      </w:tr>
      <w:tr>
        <w:tblPrEx>
          <w:tblW w:w="9427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复议后起诉</w:t>
            </w:r>
          </w:p>
        </w:tc>
      </w:tr>
      <w:tr>
        <w:tblPrEx>
          <w:tblW w:w="9427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/>
            <w:tcBorders>
              <w:top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427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51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3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7" w:firstLineChars="199"/>
        <w:textAlignment w:val="auto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sz w:val="31"/>
          <w:szCs w:val="31"/>
          <w:shd w:val="clear" w:color="auto" w:fill="FFFFFF"/>
        </w:rPr>
      </w:pPr>
      <w:r>
        <w:rPr>
          <w:rFonts w:ascii="仿宋_GB2312" w:eastAsia="仿宋_GB2312" w:hAnsi="宋体" w:cs="仿宋_GB2312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宋体" w:cs="仿宋_GB2312" w:hint="eastAsia"/>
          <w:i w:val="0"/>
          <w:caps w:val="0"/>
          <w:color w:val="424242"/>
          <w:spacing w:val="0"/>
          <w:sz w:val="31"/>
          <w:szCs w:val="31"/>
          <w:shd w:val="clear" w:color="auto" w:fill="FFFFFF"/>
          <w:lang w:eastAsia="zh-CN"/>
        </w:rPr>
        <w:t>一是百泉镇</w:t>
      </w:r>
      <w:r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新入职工作人员较多，市、镇两级政府信息公开工作相关培训学习较少，政府工作人员对政府信息公开工作范围、流程等业务了解不深入、不透彻，业务水平参差不齐。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ascii="仿宋_GB2312" w:eastAsia="仿宋_GB2312" w:hAnsi="宋体" w:cs="仿宋_GB2312" w:hint="eastAsia"/>
          <w:i w:val="0"/>
          <w:caps w:val="0"/>
          <w:color w:val="424242"/>
          <w:spacing w:val="0"/>
          <w:sz w:val="31"/>
          <w:szCs w:val="31"/>
          <w:shd w:val="clear" w:color="auto" w:fill="FFFFFF"/>
          <w:lang w:val="en-US" w:eastAsia="zh-CN"/>
        </w:rPr>
        <w:t>二是百泉镇</w:t>
      </w:r>
      <w:r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sz w:val="31"/>
          <w:szCs w:val="31"/>
          <w:shd w:val="clear" w:color="auto" w:fill="FFFFFF"/>
          <w:lang w:val="en-US" w:eastAsia="zh-CN"/>
        </w:rPr>
        <w:t>部分</w:t>
      </w:r>
      <w:r>
        <w:rPr>
          <w:rFonts w:ascii="仿宋_GB2312" w:eastAsia="仿宋_GB2312" w:hAnsi="宋体" w:cs="仿宋_GB2312" w:hint="eastAsia"/>
          <w:i w:val="0"/>
          <w:caps w:val="0"/>
          <w:color w:val="424242"/>
          <w:spacing w:val="0"/>
          <w:sz w:val="31"/>
          <w:szCs w:val="31"/>
          <w:shd w:val="clear" w:color="auto" w:fill="FFFFFF"/>
          <w:lang w:val="en-US" w:eastAsia="zh-CN"/>
        </w:rPr>
        <w:t>科室</w:t>
      </w:r>
      <w:r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sz w:val="31"/>
          <w:szCs w:val="31"/>
          <w:shd w:val="clear" w:color="auto" w:fill="FFFFFF"/>
          <w:lang w:val="en-US" w:eastAsia="zh-CN"/>
        </w:rPr>
        <w:t>按照上级要求或工作需要制定了规范性文件，但是没有采取进一步的会议传达，也没有通过其他途径公布给社会大众，政策落实不到位。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（二）下一步工作改进措施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sz w:val="31"/>
          <w:szCs w:val="31"/>
          <w:shd w:val="clear" w:color="auto" w:fill="FFFFFF"/>
        </w:rPr>
      </w:pPr>
      <w:r>
        <w:rPr>
          <w:rStyle w:val="Strong"/>
          <w:rFonts w:ascii="仿宋_GB2312" w:eastAsia="仿宋_GB2312" w:hAnsi="微软雅黑" w:cs="仿宋_GB2312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一是加强培训力度。</w:t>
      </w:r>
      <w:r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开展政府信息公开工作培训，提高部门对主动公开信息内容的知晓度，掌握和熟悉信息公开的整体流程。加大力度组织党员干部进行学习，注重横向联系、纵向指导的沟通协调机制，提升政府信息公开整体工作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sz w:val="31"/>
          <w:szCs w:val="31"/>
          <w:shd w:val="clear" w:color="auto" w:fill="FFFFFF"/>
        </w:rPr>
      </w:pPr>
      <w:r>
        <w:rPr>
          <w:rStyle w:val="Strong"/>
          <w:rFonts w:ascii="仿宋_GB2312" w:eastAsia="仿宋_GB2312" w:hAnsi="微软雅黑" w:cs="仿宋_GB2312" w:hint="default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二是严格按照审核程序办理信息公开。</w:t>
      </w:r>
      <w:r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执行《</w:t>
      </w:r>
      <w:r>
        <w:rPr>
          <w:rFonts w:ascii="仿宋_GB2312" w:eastAsia="仿宋_GB2312" w:hAnsi="宋体" w:cs="仿宋_GB2312" w:hint="eastAsia"/>
          <w:i w:val="0"/>
          <w:caps w:val="0"/>
          <w:color w:val="424242"/>
          <w:spacing w:val="0"/>
          <w:sz w:val="31"/>
          <w:szCs w:val="31"/>
          <w:shd w:val="clear" w:color="auto" w:fill="FFFFFF"/>
          <w:lang w:eastAsia="zh-CN"/>
        </w:rPr>
        <w:t>百泉镇</w:t>
      </w:r>
      <w:r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政府信息公开申请表》流程，通过逐级审批制度，将相关规定渗透到审批各个环节，促使各级人员加强对政府信息发布的认知和重视。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ascii="仿宋_GB2312" w:eastAsia="仿宋_GB2312" w:hAnsi="宋体" w:cs="仿宋_GB2312" w:hint="eastAsia"/>
          <w:b/>
          <w:bCs/>
          <w:i w:val="0"/>
          <w:caps w:val="0"/>
          <w:color w:val="424242"/>
          <w:spacing w:val="0"/>
          <w:sz w:val="31"/>
          <w:szCs w:val="31"/>
          <w:shd w:val="clear" w:color="auto" w:fill="FFFFFF"/>
          <w:lang w:eastAsia="zh-CN"/>
        </w:rPr>
        <w:t>三是</w:t>
      </w:r>
      <w:r>
        <w:rPr>
          <w:rFonts w:ascii="仿宋_GB2312" w:eastAsia="仿宋_GB2312" w:hAnsi="宋体" w:cs="仿宋_GB2312" w:hint="default"/>
          <w:b/>
          <w:bCs/>
          <w:i w:val="0"/>
          <w:caps w:val="0"/>
          <w:color w:val="424242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通过召集政策适用对象公开解读政策</w:t>
      </w:r>
      <w:r>
        <w:rPr>
          <w:rFonts w:ascii="仿宋_GB2312" w:eastAsia="仿宋_GB2312" w:hAnsi="宋体" w:cs="仿宋_GB2312" w:hint="eastAsia"/>
          <w:b/>
          <w:bCs/>
          <w:i w:val="0"/>
          <w:caps w:val="0"/>
          <w:color w:val="424242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。</w:t>
      </w:r>
      <w:r>
        <w:rPr>
          <w:rFonts w:ascii="仿宋_GB2312" w:eastAsia="仿宋_GB2312" w:hAnsi="宋体" w:cs="仿宋_GB2312" w:hint="eastAsia"/>
          <w:i w:val="0"/>
          <w:caps w:val="0"/>
          <w:color w:val="424242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通过</w:t>
      </w:r>
      <w:r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广</w:t>
      </w:r>
      <w:r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播、微信公众号多渠道公开报道，</w:t>
      </w:r>
      <w:r>
        <w:rPr>
          <w:rFonts w:ascii="仿宋_GB2312" w:eastAsia="仿宋_GB2312" w:hAnsi="宋体" w:cs="仿宋_GB2312" w:hint="eastAsia"/>
          <w:i w:val="0"/>
          <w:caps w:val="0"/>
          <w:color w:val="424242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督促相关科室、站所</w:t>
      </w:r>
      <w:r>
        <w:rPr>
          <w:rFonts w:ascii="仿宋_GB2312" w:eastAsia="仿宋_GB2312" w:hAnsi="宋体" w:cs="仿宋_GB2312" w:hint="default"/>
          <w:i w:val="0"/>
          <w:caps w:val="0"/>
          <w:color w:val="424242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解读政策等方式扩展信息公开范围，确保信息公开到位，政策执行到位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无。</w:t>
      </w:r>
    </w:p>
    <w:p>
      <w:pPr>
        <w:pStyle w:val="BodyTextIndent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/>
        <w:textAlignment w:val="auto"/>
        <w:rPr>
          <w:rFonts w:ascii="Times New Roman" w:eastAsia="仿宋_GB2312" w:hAnsi="Times New Roman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宋体"/>
          <w:sz w:val="32"/>
          <w:szCs w:val="32"/>
        </w:rPr>
      </w:pPr>
    </w:p>
    <w:sectPr>
      <w:footerReference w:type="default" r:id="rId5"/>
      <w:pgSz w:w="11906" w:h="16838"/>
      <w:pgMar w:top="2041" w:right="1531" w:bottom="1531" w:left="1531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8240" coordsize="21600,21600" filled="f" stroked="f">
          <v:stroke joinstyle="miter"/>
          <v:textbox style="mso-fit-shape-to-text:t" inset="0,0,0,0">
            <w:txbxContent>
              <w:p>
                <w:pPr>
                  <w:pStyle w:val="Footer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967099"/>
    <w:rsid w:val="00066191"/>
    <w:rsid w:val="002D1391"/>
    <w:rsid w:val="002D59A3"/>
    <w:rsid w:val="0059220E"/>
    <w:rsid w:val="00BC3E6E"/>
    <w:rsid w:val="00D4017B"/>
    <w:rsid w:val="165B7D20"/>
    <w:rsid w:val="169B5039"/>
    <w:rsid w:val="1C967099"/>
    <w:rsid w:val="2BBB6315"/>
    <w:rsid w:val="33A32E56"/>
    <w:rsid w:val="36BA4CC7"/>
    <w:rsid w:val="4627546D"/>
    <w:rsid w:val="4CF6181C"/>
    <w:rsid w:val="52251791"/>
    <w:rsid w:val="54960274"/>
    <w:rsid w:val="66764D08"/>
    <w:rsid w:val="66E72515"/>
    <w:rsid w:val="6B873B31"/>
    <w:rsid w:val="75330E5A"/>
    <w:rsid w:val="76F649A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 w:qFormat="1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Indent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next w:val="Normal"/>
    <w:qFormat/>
    <w:pPr>
      <w:spacing w:before="100" w:beforeAutospacing="1" w:line="480" w:lineRule="auto"/>
      <w:ind w:left="420" w:leftChars="2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百泉镇魏军</cp:lastModifiedBy>
  <cp:revision>4</cp:revision>
  <dcterms:created xsi:type="dcterms:W3CDTF">2021-01-18T08:31:00Z</dcterms:created>
  <dcterms:modified xsi:type="dcterms:W3CDTF">2021-02-05T03:44:37Z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