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7073A4">
      <w:pPr>
        <w:pStyle w:val="Heading2"/>
        <w:shd w:val="clear" w:color="auto" w:fill="FFFFFF"/>
        <w:spacing w:before="450" w:beforeAutospacing="0" w:after="150" w:afterAutospacing="0" w:line="570" w:lineRule="atLeast"/>
        <w:jc w:val="center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  <w:shd w:val="clear" w:color="auto" w:fill="FFFFFF"/>
          <w:lang w:val="x-none"/>
        </w:rPr>
        <w:t>白杨沟镇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  <w:shd w:val="clear" w:color="auto" w:fill="FFFFFF"/>
          <w:lang w:val="x-none"/>
        </w:rPr>
        <w:t>政府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  <w:shd w:val="clear" w:color="auto" w:fill="FFFFFF"/>
          <w:lang w:val="x-none"/>
        </w:rPr>
        <w:t>信息公开工作</w:t>
      </w:r>
      <w:r w:rsidR="009A0B0A"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  <w:shd w:val="clear" w:color="auto" w:fill="FFFFFF"/>
          <w:lang w:val="x-none"/>
        </w:rPr>
        <w:t>2020年度</w:t>
      </w:r>
      <w:r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  <w:shd w:val="clear" w:color="auto" w:fill="FFFFFF"/>
          <w:lang w:val="x-none"/>
        </w:rPr>
        <w:t>报告</w:t>
      </w:r>
    </w:p>
    <w:bookmarkEnd w:id="0"/>
    <w:p w:rsidR="007073A4">
      <w:pPr>
        <w:pStyle w:val="NormalWeb"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本年度报告根据《中华人民共和国政府信息公开条例》（以下简称《条例》）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市政务公开工作要求，由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白杨沟镇党政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办公室编制。全文包括总体情况、主动公开政府信息情况、收到和处理政府信息公开申请情况、政府信息公开行政复议、行政诉讼情况，以及存在的主要问题和改进措施等。如对本年度报告有疑问，请与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白杨沟镇党政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办公室联系，联系电话：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0992-7357002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42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根据《中华人民共和国政府信息公开条例》要求，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白杨沟镇人民政府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年进一步加大政府信息公开工作力度，根据人事变动和工作需要，及时调整和充实信息公开工作人员，并实行责任层层分解，落实到人。年初，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对信息公开工作进行了部署，配备一名全职工作人员与一名兼职工作人员，坚持及时发布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的规范性文件、重要活动、重大决策及日常工作动态信息。设立了信息申请受理点，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公示栏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。截止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年底，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白杨沟镇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政府信息公开工作运行正常，政府信息公开咨询、申请和答复工作顺利开展。</w:t>
      </w:r>
    </w:p>
    <w:p w:rsidR="007073A4">
      <w:pPr>
        <w:spacing w:after="0" w:line="560" w:lineRule="exact"/>
        <w:ind w:firstLine="640" w:firstLineChars="200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本年新</w:t>
            </w:r>
            <w:r>
              <w:rPr>
                <w:rFonts w:ascii="Times New Roman" w:hAnsi="Times New Roman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本年新</w:t>
            </w:r>
            <w:r>
              <w:rPr>
                <w:rFonts w:ascii="Times New Roman" w:hAnsi="Times New Roman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00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sz w:val="24"/>
              </w:rPr>
              <w:t>/</w:t>
            </w:r>
            <w:r>
              <w:rPr>
                <w:rFonts w:ascii="Times New Roman" w:hAnsi="Times New Roman" w:cs="宋体" w:hint="eastAsia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sz w:val="24"/>
              </w:rPr>
              <w:t>/</w:t>
            </w:r>
            <w:r>
              <w:rPr>
                <w:rFonts w:ascii="Times New Roman" w:hAnsi="Times New Roman" w:cs="宋体" w:hint="eastAsia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sz w:val="24"/>
              </w:rPr>
              <w:t>/</w:t>
            </w:r>
            <w:r>
              <w:rPr>
                <w:rFonts w:ascii="Times New Roman" w:hAnsi="Times New Roman" w:cs="宋体" w:hint="eastAsia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采购总</w:t>
            </w:r>
            <w:r>
              <w:rPr>
                <w:rFonts w:ascii="Times New Roman" w:hAnsi="Times New Roman" w:cs="宋体" w:hint="eastAsia"/>
                <w:sz w:val="24"/>
              </w:rPr>
              <w:t>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4050" w:type="dxa"/>
            <w:gridSpan w:val="2"/>
            <w:noWrap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760000</w:t>
            </w:r>
          </w:p>
        </w:tc>
      </w:tr>
    </w:tbl>
    <w:p w:rsidR="007073A4">
      <w:pPr>
        <w:pStyle w:val="NormalWeb"/>
        <w:spacing w:beforeAutospacing="0" w:afterAutospacing="0" w:line="56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（本列数据的勾</w:t>
            </w:r>
            <w:r>
              <w:rPr>
                <w:rFonts w:ascii="Times New Roman" w:hAnsi="Times New Roman" w:cs="宋体" w:hint="eastAsia"/>
                <w:sz w:val="24"/>
              </w:rPr>
              <w:t>稽</w:t>
            </w:r>
            <w:r>
              <w:rPr>
                <w:rFonts w:ascii="Times New Roman" w:hAnsi="Times New Roman" w:cs="宋体" w:hint="eastAsia"/>
                <w:sz w:val="24"/>
              </w:rPr>
              <w:t>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危及“三安全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一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6.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7.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8.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（五）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sz w:val="24"/>
              </w:rPr>
              <w:t>0</w:t>
            </w: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7073A4">
      <w:pPr>
        <w:spacing w:after="0" w:line="560" w:lineRule="exact"/>
        <w:ind w:firstLine="640" w:firstLineChars="200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073A4">
            <w:pPr>
              <w:spacing w:after="0" w:line="560" w:lineRule="exact"/>
              <w:jc w:val="center"/>
              <w:rPr>
                <w:rFonts w:ascii="Times New Roman" w:eastAsia="宋体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0</w:t>
            </w:r>
          </w:p>
        </w:tc>
      </w:tr>
    </w:tbl>
    <w:p w:rsidR="007073A4">
      <w:pPr>
        <w:pStyle w:val="NormalWeb"/>
        <w:shd w:val="clear" w:color="auto" w:fill="FFFFFF"/>
        <w:spacing w:beforeAutospacing="0" w:afterAutospacing="0" w:line="560" w:lineRule="exact"/>
        <w:ind w:left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五、存在的问题与改进的措施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（一）存在的主要问题。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少数工作人员对政府信息公开工作的重要性认识不到位，对政府信息公开工作重视不够；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政府信息公开不同程度地存在着内容简单、流于形式的现象。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公开的形式不够规范。各信息公开比较重视通过网站公开政府信息，但真正通过网站获取信息的老百姓却较少。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  <w:shd w:val="clear" w:color="auto" w:fill="FFFFFF"/>
        </w:rPr>
        <w:t>（二）改进措施。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建立健全工作机制，进一步完善政府信息公开工作各项规章制度，规范对政府信息公开工作的管理。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进一步加大宣传力度，特别关注热点、难点的民生问题的信息公开力度，努力营造工会依法维权，为民办实事、办好事的良好氛围。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严格考核奖惩。把政府信息公开工作纳入目标管理，坚持量化考核，通过严格的检查考核和责任追究，确保政府信息公开工作落到实处。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六、其他需要报告的事项</w:t>
      </w:r>
    </w:p>
    <w:p w:rsidR="007073A4">
      <w:pPr>
        <w:pStyle w:val="NormalWeb"/>
        <w:shd w:val="clear" w:color="auto" w:fill="FFFFFF"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</w:t>
      </w:r>
    </w:p>
    <w:p w:rsidR="007073A4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73A4" w:rsidP="009A0B0A">
      <w:pPr>
        <w:pStyle w:val="BodyTextIndent2"/>
        <w:spacing w:beforeAutospacing="0" w:after="0" w:line="560" w:lineRule="exact"/>
        <w:ind w:left="440"/>
        <w:rPr>
          <w:rFonts w:ascii="仿宋_GB2312" w:eastAsia="仿宋_GB2312" w:hAnsi="仿宋_GB2312" w:cs="仿宋_GB2312"/>
          <w:sz w:val="32"/>
          <w:szCs w:val="32"/>
        </w:rPr>
      </w:pPr>
    </w:p>
    <w:p w:rsidR="007073A4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73A4" w:rsidP="009A0B0A">
      <w:pPr>
        <w:spacing w:after="0" w:line="560" w:lineRule="exact"/>
        <w:ind w:firstLine="440" w:firstLineChars="200"/>
        <w:jc w:val="right"/>
      </w:pPr>
    </w:p>
    <w:sectPr w:rsidSect="007073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323B43"/>
    <w:rsid w:val="003D37D8"/>
    <w:rsid w:val="00426133"/>
    <w:rsid w:val="004358AB"/>
    <w:rsid w:val="007073A4"/>
    <w:rsid w:val="008B7726"/>
    <w:rsid w:val="008D14E1"/>
    <w:rsid w:val="009A0B0A"/>
    <w:rsid w:val="00D31D50"/>
    <w:rsid w:val="53E5245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Indent2"/>
    <w:qFormat/>
    <w:rsid w:val="007073A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073A4"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7073A4"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uiPriority w:val="99"/>
    <w:semiHidden/>
    <w:unhideWhenUsed/>
    <w:rsid w:val="007073A4"/>
    <w:pPr>
      <w:spacing w:beforeAutospacing="1" w:after="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Administrator.USER-20190306QQ</dc:creator>
  <cp:lastModifiedBy>zhangzudong</cp:lastModifiedBy>
  <cp:revision>4</cp:revision>
  <dcterms:created xsi:type="dcterms:W3CDTF">2008-09-11T17:20:00Z</dcterms:created>
  <dcterms:modified xsi:type="dcterms:W3CDTF">2021-02-09T08:51:00Z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