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spacing w:line="560" w:lineRule="exact"/>
        <w:jc w:val="center"/>
        <w:rPr>
          <w:rFonts w:ascii="楷体" w:eastAsia="楷体" w:hAnsi="楷体" w:cs="楷体" w:hint="eastAsia"/>
          <w:b/>
          <w:bCs/>
          <w:sz w:val="44"/>
          <w:szCs w:val="44"/>
        </w:rPr>
      </w:pPr>
      <w:r>
        <w:rPr>
          <w:rFonts w:ascii="楷体" w:eastAsia="楷体" w:hAnsi="楷体" w:cs="楷体" w:hint="eastAsia"/>
          <w:b/>
          <w:bCs/>
          <w:sz w:val="44"/>
          <w:szCs w:val="44"/>
          <w:lang w:eastAsia="zh-CN"/>
        </w:rPr>
        <w:t>西城区</w:t>
      </w:r>
      <w:r>
        <w:rPr>
          <w:rFonts w:ascii="楷体" w:eastAsia="楷体" w:hAnsi="楷体" w:cs="楷体" w:hint="eastAsia"/>
          <w:b/>
          <w:bCs/>
          <w:sz w:val="44"/>
          <w:szCs w:val="44"/>
        </w:rPr>
        <w:t>街道政府信息公开工作2020年度</w:t>
      </w:r>
    </w:p>
    <w:p>
      <w:pPr>
        <w:spacing w:line="560" w:lineRule="exact"/>
        <w:jc w:val="center"/>
        <w:rPr>
          <w:rFonts w:ascii="楷体" w:eastAsia="楷体" w:hAnsi="楷体" w:cs="楷体" w:hint="eastAsia"/>
          <w:b/>
          <w:bCs/>
          <w:sz w:val="44"/>
          <w:szCs w:val="44"/>
        </w:rPr>
      </w:pPr>
      <w:r>
        <w:rPr>
          <w:rFonts w:ascii="楷体" w:eastAsia="楷体" w:hAnsi="楷体" w:cs="楷体" w:hint="eastAsia"/>
          <w:b/>
          <w:bCs/>
          <w:sz w:val="44"/>
          <w:szCs w:val="44"/>
        </w:rPr>
        <w:t>报告</w:t>
      </w:r>
    </w:p>
    <w:p>
      <w:pPr>
        <w:spacing w:line="560" w:lineRule="exact"/>
        <w:jc w:val="center"/>
        <w:rPr>
          <w:rFonts w:ascii="仿宋" w:eastAsia="仿宋" w:hAnsi="仿宋" w:cs="仿宋" w:hint="eastAsia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按照《关于做好政府信息公开工作年度报告》乌政办函（2021）4号文件要求，切实做好政府信息公开年度报告编制工作，结合实际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西城区</w:t>
      </w:r>
      <w:r>
        <w:rPr>
          <w:rFonts w:ascii="仿宋" w:eastAsia="仿宋" w:hAnsi="仿宋" w:cs="仿宋" w:hint="eastAsia"/>
          <w:sz w:val="32"/>
          <w:szCs w:val="32"/>
        </w:rPr>
        <w:t>街道信息公开做工作年度报告如下：</w:t>
      </w:r>
    </w:p>
    <w:p>
      <w:pPr>
        <w:spacing w:line="560" w:lineRule="exact"/>
        <w:ind w:firstLine="640" w:firstLineChars="200"/>
        <w:jc w:val="lef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一、总体情况</w:t>
      </w:r>
    </w:p>
    <w:p>
      <w:pPr>
        <w:pStyle w:val="NormalWeb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2020年，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 w:eastAsia="zh-CN"/>
        </w:rPr>
        <w:t>西城区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街道坚持以习近平新时代中国特色社会主义思想为指导，牢固树立“四个意识”，坚定“四个自信”，做到“两个维护”，贯彻落实新时代党的治疆方略、特别是社会稳定和长治久安总目标，贯彻落实党中央、国务院关于全面推进政务公开决策部署，贯彻落实新修订的《政府信息公开条例》，紧紧围绕党中央、国务院重大决策部署，紧扣自治区党委、人民政府中心工作及群众企业关心关切，深入推进决策、执行、管理、服务、结果“五公开”，着力提升政务公开水平和质量，加快完善政务公开制度规范，持续深化重点领域信息公开，积极回应社会关切，大力推进政务公开与政务服务深度融合，公开质量和实效进一步提高，特别是新冠肺炎疫情防控期间，加强疫情防控舆论引导，积极回应社会关切，为自治区打赢疫情防控人民战争、总体战、阻击战提供积极支持，为促进社会稳定和长治久安总目标作出积极贡献。</w:t>
      </w:r>
    </w:p>
    <w:p>
      <w:pPr>
        <w:spacing w:line="560" w:lineRule="exact"/>
        <w:ind w:firstLine="640" w:firstLineChars="200"/>
        <w:jc w:val="lef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二、主动公开政府信息情况</w:t>
      </w:r>
    </w:p>
    <w:tbl>
      <w:tblPr>
        <w:tblStyle w:val="TableNormal"/>
        <w:tblW w:w="847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2289"/>
        <w:gridCol w:w="2126"/>
        <w:gridCol w:w="1924"/>
      </w:tblGrid>
      <w:tr>
        <w:tblPrEx>
          <w:tblW w:w="8476" w:type="dxa"/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  <w:jc w:val="center"/>
        </w:trPr>
        <w:tc>
          <w:tcPr>
            <w:tcW w:w="8476" w:type="dxa"/>
            <w:gridSpan w:val="4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第二十条第（一）项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/>
          <w:jc w:val="center"/>
        </w:trPr>
        <w:tc>
          <w:tcPr>
            <w:tcW w:w="2137" w:type="dxa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2289" w:type="dxa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本年新制作数量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本年新公开数量</w:t>
            </w:r>
          </w:p>
        </w:tc>
        <w:tc>
          <w:tcPr>
            <w:tcW w:w="1924" w:type="dxa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对外公开总数量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  <w:jc w:val="center"/>
        </w:trPr>
        <w:tc>
          <w:tcPr>
            <w:tcW w:w="2137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规章</w:t>
            </w:r>
          </w:p>
        </w:tc>
        <w:tc>
          <w:tcPr>
            <w:tcW w:w="2289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</w:t>
            </w:r>
          </w:p>
        </w:tc>
        <w:tc>
          <w:tcPr>
            <w:tcW w:w="1924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/>
          <w:jc w:val="center"/>
        </w:trPr>
        <w:tc>
          <w:tcPr>
            <w:tcW w:w="2137" w:type="dxa"/>
            <w:noWrap/>
            <w:vAlign w:val="top"/>
          </w:tcPr>
          <w:p>
            <w:pPr>
              <w:widowControl/>
              <w:spacing w:after="144" w:line="30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规范性文件</w:t>
            </w:r>
          </w:p>
        </w:tc>
        <w:tc>
          <w:tcPr>
            <w:tcW w:w="2289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24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/>
          <w:jc w:val="center"/>
        </w:trPr>
        <w:tc>
          <w:tcPr>
            <w:tcW w:w="8476" w:type="dxa"/>
            <w:gridSpan w:val="4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第二十条第（五）项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  <w:jc w:val="center"/>
        </w:trPr>
        <w:tc>
          <w:tcPr>
            <w:tcW w:w="2137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2289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上一年项目数量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本年增/减</w:t>
            </w:r>
          </w:p>
        </w:tc>
        <w:tc>
          <w:tcPr>
            <w:tcW w:w="1924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处理决定数量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/>
          <w:jc w:val="center"/>
        </w:trPr>
        <w:tc>
          <w:tcPr>
            <w:tcW w:w="2137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行政许可</w:t>
            </w:r>
          </w:p>
        </w:tc>
        <w:tc>
          <w:tcPr>
            <w:tcW w:w="2289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</w:t>
            </w:r>
          </w:p>
        </w:tc>
        <w:tc>
          <w:tcPr>
            <w:tcW w:w="2126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</w:t>
            </w:r>
          </w:p>
        </w:tc>
        <w:tc>
          <w:tcPr>
            <w:tcW w:w="1924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/>
          <w:jc w:val="center"/>
        </w:trPr>
        <w:tc>
          <w:tcPr>
            <w:tcW w:w="2137" w:type="dxa"/>
            <w:noWrap/>
            <w:vAlign w:val="top"/>
          </w:tcPr>
          <w:p>
            <w:pPr>
              <w:widowControl/>
              <w:spacing w:after="144" w:line="30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其他对外管理服务事项</w:t>
            </w:r>
          </w:p>
        </w:tc>
        <w:tc>
          <w:tcPr>
            <w:tcW w:w="2289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</w:t>
            </w:r>
          </w:p>
        </w:tc>
        <w:tc>
          <w:tcPr>
            <w:tcW w:w="2126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</w:t>
            </w:r>
          </w:p>
        </w:tc>
        <w:tc>
          <w:tcPr>
            <w:tcW w:w="1924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  <w:jc w:val="center"/>
        </w:trPr>
        <w:tc>
          <w:tcPr>
            <w:tcW w:w="8476" w:type="dxa"/>
            <w:gridSpan w:val="4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第二十条第（六）项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/>
          <w:jc w:val="center"/>
        </w:trPr>
        <w:tc>
          <w:tcPr>
            <w:tcW w:w="2137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2289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上一年项目数量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本年增/减</w:t>
            </w:r>
          </w:p>
        </w:tc>
        <w:tc>
          <w:tcPr>
            <w:tcW w:w="1924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处理决定数量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/>
          <w:jc w:val="center"/>
        </w:trPr>
        <w:tc>
          <w:tcPr>
            <w:tcW w:w="2137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行政处罚</w:t>
            </w:r>
          </w:p>
        </w:tc>
        <w:tc>
          <w:tcPr>
            <w:tcW w:w="2289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</w:t>
            </w:r>
          </w:p>
        </w:tc>
        <w:tc>
          <w:tcPr>
            <w:tcW w:w="2126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</w:t>
            </w:r>
          </w:p>
        </w:tc>
        <w:tc>
          <w:tcPr>
            <w:tcW w:w="1924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/>
          <w:jc w:val="center"/>
        </w:trPr>
        <w:tc>
          <w:tcPr>
            <w:tcW w:w="2137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行政强制</w:t>
            </w:r>
          </w:p>
        </w:tc>
        <w:tc>
          <w:tcPr>
            <w:tcW w:w="2289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</w:t>
            </w:r>
          </w:p>
        </w:tc>
        <w:tc>
          <w:tcPr>
            <w:tcW w:w="2126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</w:t>
            </w:r>
          </w:p>
        </w:tc>
        <w:tc>
          <w:tcPr>
            <w:tcW w:w="1924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/>
          <w:jc w:val="center"/>
        </w:trPr>
        <w:tc>
          <w:tcPr>
            <w:tcW w:w="8476" w:type="dxa"/>
            <w:gridSpan w:val="4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第二十条第（八）项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/>
          <w:jc w:val="center"/>
        </w:trPr>
        <w:tc>
          <w:tcPr>
            <w:tcW w:w="2137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2289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上一年项目数量</w:t>
            </w:r>
          </w:p>
        </w:tc>
        <w:tc>
          <w:tcPr>
            <w:tcW w:w="4050" w:type="dxa"/>
            <w:gridSpan w:val="2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本年增/减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/>
          <w:jc w:val="center"/>
        </w:trPr>
        <w:tc>
          <w:tcPr>
            <w:tcW w:w="2137" w:type="dxa"/>
            <w:noWrap/>
            <w:vAlign w:val="top"/>
          </w:tcPr>
          <w:p>
            <w:pPr>
              <w:widowControl/>
              <w:spacing w:after="144" w:line="30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行政事业性收费</w:t>
            </w:r>
          </w:p>
        </w:tc>
        <w:tc>
          <w:tcPr>
            <w:tcW w:w="2289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</w:t>
            </w:r>
          </w:p>
        </w:tc>
        <w:tc>
          <w:tcPr>
            <w:tcW w:w="4050" w:type="dxa"/>
            <w:gridSpan w:val="2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/>
          <w:jc w:val="center"/>
        </w:trPr>
        <w:tc>
          <w:tcPr>
            <w:tcW w:w="8476" w:type="dxa"/>
            <w:gridSpan w:val="4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第二十条第（九）项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  <w:jc w:val="center"/>
        </w:trPr>
        <w:tc>
          <w:tcPr>
            <w:tcW w:w="2137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2289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采购项目数量</w:t>
            </w:r>
          </w:p>
        </w:tc>
        <w:tc>
          <w:tcPr>
            <w:tcW w:w="4050" w:type="dxa"/>
            <w:gridSpan w:val="2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采购总金额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/>
          <w:jc w:val="center"/>
        </w:trPr>
        <w:tc>
          <w:tcPr>
            <w:tcW w:w="2137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政府集中采购</w:t>
            </w:r>
          </w:p>
        </w:tc>
        <w:tc>
          <w:tcPr>
            <w:tcW w:w="2289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</w:t>
            </w:r>
          </w:p>
        </w:tc>
        <w:tc>
          <w:tcPr>
            <w:tcW w:w="4050" w:type="dxa"/>
            <w:gridSpan w:val="2"/>
            <w:noWrap/>
            <w:vAlign w:val="top"/>
          </w:tcPr>
          <w:p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</w:t>
            </w:r>
          </w:p>
        </w:tc>
      </w:tr>
    </w:tbl>
    <w:p>
      <w:pPr>
        <w:pStyle w:val="NormalWeb"/>
        <w:widowControl/>
        <w:spacing w:before="0" w:beforeAutospacing="0" w:after="0" w:afterAutospacing="0" w:line="560" w:lineRule="exact"/>
        <w:jc w:val="both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三、收到和处理政府信息公开申请情况</w:t>
      </w:r>
    </w:p>
    <w:tbl>
      <w:tblPr>
        <w:tblStyle w:val="TableNormal"/>
        <w:tblW w:w="921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936"/>
        <w:gridCol w:w="3377"/>
        <w:gridCol w:w="456"/>
        <w:gridCol w:w="707"/>
        <w:gridCol w:w="707"/>
        <w:gridCol w:w="706"/>
        <w:gridCol w:w="707"/>
        <w:gridCol w:w="465"/>
        <w:gridCol w:w="456"/>
      </w:tblGrid>
      <w:tr>
        <w:tblPrEx>
          <w:tblW w:w="9214" w:type="dxa"/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  <w:jc w:val="center"/>
        </w:trPr>
        <w:tc>
          <w:tcPr>
            <w:tcW w:w="5010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4204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申请人情况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vMerge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45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自然人</w:t>
            </w:r>
          </w:p>
        </w:tc>
        <w:tc>
          <w:tcPr>
            <w:tcW w:w="3292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法人或其他组织</w:t>
            </w:r>
          </w:p>
        </w:tc>
        <w:tc>
          <w:tcPr>
            <w:tcW w:w="45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总计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010" w:type="dxa"/>
            <w:gridSpan w:val="3"/>
            <w:vMerge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456" w:type="dxa"/>
            <w:vMerge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商业企业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科研机构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社会公益组织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法律服务机构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其他</w:t>
            </w:r>
          </w:p>
        </w:tc>
        <w:tc>
          <w:tcPr>
            <w:tcW w:w="456" w:type="dxa"/>
            <w:vMerge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  <w:jc w:val="center"/>
        </w:trPr>
        <w:tc>
          <w:tcPr>
            <w:tcW w:w="5010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  <w:jc w:val="center"/>
        </w:trPr>
        <w:tc>
          <w:tcPr>
            <w:tcW w:w="697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三、本年度办理结果</w:t>
            </w:r>
          </w:p>
        </w:tc>
        <w:tc>
          <w:tcPr>
            <w:tcW w:w="4313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（一）予以公开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  <w:jc w:val="center"/>
        </w:trPr>
        <w:tc>
          <w:tcPr>
            <w:tcW w:w="697" w:type="dxa"/>
            <w:vMerge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4313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3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（三）不予公开</w:t>
            </w: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1.属于国家秘密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  <w:jc w:val="center"/>
        </w:trPr>
        <w:tc>
          <w:tcPr>
            <w:tcW w:w="697" w:type="dxa"/>
            <w:vMerge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36" w:type="dxa"/>
            <w:vMerge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2.其他法律行政法规禁止公开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36" w:type="dxa"/>
            <w:vMerge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3.危及“三安全一稳定”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36" w:type="dxa"/>
            <w:vMerge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4.保护第三方合法权益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36" w:type="dxa"/>
            <w:vMerge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5.属于三类内部事务信息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36" w:type="dxa"/>
            <w:vMerge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6.属于四类过程性信息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36" w:type="dxa"/>
            <w:vMerge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7.属于行政执法案卷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  <w:jc w:val="center"/>
        </w:trPr>
        <w:tc>
          <w:tcPr>
            <w:tcW w:w="697" w:type="dxa"/>
            <w:vMerge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36" w:type="dxa"/>
            <w:vMerge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8.属于行政查询事项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  <w:jc w:val="center"/>
        </w:trPr>
        <w:tc>
          <w:tcPr>
            <w:tcW w:w="697" w:type="dxa"/>
            <w:vMerge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3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（四）无法提供</w:t>
            </w: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1.本机关不掌握相关政府信息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36" w:type="dxa"/>
            <w:vMerge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2.没有现成信息需要另行制作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36" w:type="dxa"/>
            <w:vMerge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3.补正后申请内容仍不明确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3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（五）不予处理</w:t>
            </w: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1.信访举报投诉类申请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36" w:type="dxa"/>
            <w:vMerge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2.重复申请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36" w:type="dxa"/>
            <w:vMerge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3.要求提供公开出版物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36" w:type="dxa"/>
            <w:vMerge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4.无正当理由大量反复申请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36" w:type="dxa"/>
            <w:vMerge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4313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（六）其他处理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/>
          <w:jc w:val="center"/>
        </w:trPr>
        <w:tc>
          <w:tcPr>
            <w:tcW w:w="697" w:type="dxa"/>
            <w:vMerge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4313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（七）总计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四、结转下年度继续办理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 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0 </w:t>
            </w:r>
          </w:p>
        </w:tc>
      </w:tr>
    </w:tbl>
    <w:p>
      <w:pPr>
        <w:spacing w:line="560" w:lineRule="exact"/>
        <w:ind w:firstLine="637" w:firstLineChars="199"/>
        <w:rPr>
          <w:rFonts w:ascii="仿宋" w:eastAsia="仿宋" w:hAnsi="仿宋" w:cs="仿宋" w:hint="eastAsia"/>
          <w:kern w:val="0"/>
          <w:sz w:val="32"/>
          <w:szCs w:val="32"/>
        </w:rPr>
      </w:pPr>
    </w:p>
    <w:p>
      <w:pPr>
        <w:spacing w:line="560" w:lineRule="exact"/>
        <w:ind w:firstLine="637" w:firstLineChars="199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四、政府信息公开行政复议、行政诉讼情况</w:t>
      </w:r>
    </w:p>
    <w:tbl>
      <w:tblPr>
        <w:tblStyle w:val="TableNormal"/>
        <w:tblW w:w="942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851"/>
        <w:gridCol w:w="836"/>
        <w:gridCol w:w="706"/>
        <w:gridCol w:w="456"/>
        <w:gridCol w:w="706"/>
        <w:gridCol w:w="706"/>
        <w:gridCol w:w="711"/>
        <w:gridCol w:w="789"/>
        <w:gridCol w:w="456"/>
        <w:gridCol w:w="456"/>
        <w:gridCol w:w="527"/>
        <w:gridCol w:w="456"/>
        <w:gridCol w:w="469"/>
        <w:gridCol w:w="456"/>
      </w:tblGrid>
      <w:tr>
        <w:tblPrEx>
          <w:tblW w:w="9427" w:type="dxa"/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3695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行政复议</w:t>
            </w:r>
          </w:p>
        </w:tc>
        <w:tc>
          <w:tcPr>
            <w:tcW w:w="5732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行政诉讼</w:t>
            </w:r>
          </w:p>
        </w:tc>
      </w:tr>
      <w:tr>
        <w:tblPrEx>
          <w:tblW w:w="9427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85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结果纠正</w:t>
            </w:r>
          </w:p>
        </w:tc>
        <w:tc>
          <w:tcPr>
            <w:tcW w:w="83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其他结果</w:t>
            </w:r>
          </w:p>
        </w:tc>
        <w:tc>
          <w:tcPr>
            <w:tcW w:w="70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尚未审结</w:t>
            </w:r>
          </w:p>
        </w:tc>
        <w:tc>
          <w:tcPr>
            <w:tcW w:w="45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总计</w:t>
            </w:r>
          </w:p>
        </w:tc>
        <w:tc>
          <w:tcPr>
            <w:tcW w:w="3368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未经复议直接起诉</w:t>
            </w:r>
          </w:p>
        </w:tc>
        <w:tc>
          <w:tcPr>
            <w:tcW w:w="2364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复议后起诉</w:t>
            </w:r>
          </w:p>
        </w:tc>
      </w:tr>
      <w:tr>
        <w:tblPrEx>
          <w:tblW w:w="9427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/>
          <w:jc w:val="center"/>
        </w:trPr>
        <w:tc>
          <w:tcPr>
            <w:tcW w:w="846" w:type="dxa"/>
            <w:vMerge/>
            <w:tcBorders>
              <w:top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836" w:type="dxa"/>
            <w:vMerge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706" w:type="dxa"/>
            <w:vMerge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456" w:type="dxa"/>
            <w:vMerge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结果纠正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其他结果</w:t>
            </w:r>
          </w:p>
        </w:tc>
        <w:tc>
          <w:tcPr>
            <w:tcW w:w="7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尚未审结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总计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52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结果纠正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其他结果</w:t>
            </w:r>
          </w:p>
        </w:tc>
        <w:tc>
          <w:tcPr>
            <w:tcW w:w="46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尚未审结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总计</w:t>
            </w:r>
          </w:p>
        </w:tc>
      </w:tr>
      <w:tr>
        <w:tblPrEx>
          <w:tblW w:w="9427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/>
          <w:jc w:val="center"/>
        </w:trPr>
        <w:tc>
          <w:tcPr>
            <w:tcW w:w="84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8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7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52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46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</w:t>
            </w:r>
          </w:p>
        </w:tc>
      </w:tr>
    </w:tbl>
    <w:p>
      <w:pPr>
        <w:pStyle w:val="NormalWeb"/>
        <w:widowControl/>
        <w:shd w:val="clear" w:color="auto" w:fill="FFFFFF"/>
        <w:spacing w:before="0" w:beforeAutospacing="0" w:after="0" w:afterAutospacing="0" w:line="520" w:lineRule="atLeast"/>
        <w:ind w:firstLine="579"/>
        <w:jc w:val="both"/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NormalWeb"/>
        <w:widowControl/>
        <w:shd w:val="clear" w:color="auto" w:fill="FFFFFF"/>
        <w:spacing w:before="0" w:beforeAutospacing="0" w:after="0" w:afterAutospacing="0" w:line="520" w:lineRule="atLeast"/>
        <w:ind w:firstLine="579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2020年度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 w:eastAsia="zh-CN"/>
        </w:rPr>
        <w:t>西城区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街道政务公开工作在市委、市府的领导下，取得了一定成绩，但还存在一些问题和不足，需要进一步提升和改进：</w:t>
      </w: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一是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政务公开的理念有待进一步提高，新形势新任务下，借助互联网新技术，创造性开展工作的能力有待进一步提升，利用新媒体公开的方式方法有待进一步加强。</w:t>
      </w: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二是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政务公开业务培训还不到位，工作人员的专业素质有待进一步提高。</w:t>
      </w:r>
      <w:bookmarkStart w:id="0" w:name="_GoBack"/>
      <w:bookmarkEnd w:id="0"/>
    </w:p>
    <w:p>
      <w:pPr>
        <w:spacing w:line="560" w:lineRule="exact"/>
        <w:ind w:firstLine="637" w:firstLineChars="199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六、其他需要报告的事项</w:t>
      </w:r>
    </w:p>
    <w:p>
      <w:pPr>
        <w:widowControl/>
        <w:spacing w:line="240" w:lineRule="atLeast"/>
        <w:ind w:firstLine="640" w:firstLineChars="20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无</w:t>
      </w:r>
    </w:p>
    <w:p/>
    <w:sectPr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2787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620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9.15pt;height:21.95pt;margin-top:0;margin-left:0;mso-height-relative:page;mso-position-horizontal:center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pStyle w:val="Foo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A049CE"/>
    <w:rsid w:val="27585B07"/>
    <w:rsid w:val="53A049CE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 w:qFormat="1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Indent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next w:val="Normal"/>
    <w:qFormat/>
    <w:pPr>
      <w:spacing w:before="100" w:beforeAutospacing="1" w:line="480" w:lineRule="auto"/>
      <w:ind w:left="420" w:leftChars="200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qFormat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2021-02-18T08:30:00Z</dcterms:created>
  <dcterms:modified xsi:type="dcterms:W3CDTF">2021-02-18T10:15:06Z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