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spacing w:line="560" w:lineRule="exact"/>
        <w:jc w:val="center"/>
        <w:rPr>
          <w:rFonts w:ascii="Times New Roman" w:eastAsia="方正小标宋_GBK" w:hAnsi="Times New Roman" w:cs="仿宋_GB2312"/>
          <w:sz w:val="44"/>
          <w:szCs w:val="44"/>
        </w:rPr>
      </w:pPr>
      <w:r>
        <w:rPr>
          <w:rFonts w:ascii="方正小标宋简体" w:eastAsia="方正小标宋简体" w:hAnsi="方正小标宋简体" w:cs="方正小标宋简体" w:hint="eastAsia"/>
          <w:sz w:val="44"/>
          <w:szCs w:val="44"/>
          <w:lang w:eastAsia="zh-CN"/>
        </w:rPr>
        <w:t>乌苏市水利局</w:t>
      </w:r>
      <w:r>
        <w:rPr>
          <w:rFonts w:ascii="方正小标宋简体" w:eastAsia="方正小标宋简体" w:hAnsi="方正小标宋简体" w:cs="方正小标宋简体" w:hint="eastAsia"/>
          <w:sz w:val="44"/>
          <w:szCs w:val="44"/>
        </w:rPr>
        <w:t>政府信息公开工作</w:t>
      </w:r>
      <w:r>
        <w:rPr>
          <w:rFonts w:ascii="方正小标宋简体" w:eastAsia="方正小标宋简体" w:hAnsi="方正小标宋简体" w:cs="方正小标宋简体" w:hint="eastAsia"/>
          <w:sz w:val="44"/>
          <w:szCs w:val="44"/>
          <w:lang w:val="en-US" w:eastAsia="zh-CN"/>
        </w:rPr>
        <w:t>2021</w:t>
      </w:r>
      <w:bookmarkStart w:id="0" w:name="_GoBack"/>
      <w:bookmarkEnd w:id="0"/>
      <w:r>
        <w:rPr>
          <w:rFonts w:ascii="方正小标宋简体" w:eastAsia="方正小标宋简体" w:hAnsi="方正小标宋简体" w:cs="方正小标宋简体" w:hint="eastAsia"/>
          <w:sz w:val="44"/>
          <w:szCs w:val="44"/>
        </w:rPr>
        <w:t>年度报告</w:t>
      </w:r>
    </w:p>
    <w:p>
      <w:pPr>
        <w:keepNext w:val="0"/>
        <w:keepLines w:val="0"/>
        <w:pageBreakBefore w:val="0"/>
        <w:kinsoku/>
        <w:wordWrap/>
        <w:overflowPunct/>
        <w:topLinePunct w:val="0"/>
        <w:autoSpaceDE/>
        <w:autoSpaceDN/>
        <w:bidi w:val="0"/>
        <w:spacing w:line="520" w:lineRule="exact"/>
        <w:jc w:val="center"/>
        <w:textAlignment w:val="auto"/>
        <w:rPr>
          <w:rFonts w:ascii="Times New Roman" w:eastAsia="方正小标宋_GBK" w:hAnsi="Times New Roman" w:cs="仿宋_GB2312"/>
          <w:sz w:val="44"/>
          <w:szCs w:val="44"/>
        </w:rPr>
      </w:pP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按照《中华人民共和国政府信息公开条例》和《中华人民共和国政府信息公开工作年度报告格式（试行）》及《乌苏市人民政府办公室关于做好政府信息公开工作年度报告编制工作的通知》等文件的规定以及市委、市政府全面推进政务公开工作的部署要求，编辑本年度报告。报告包括总体情况，</w:t>
      </w:r>
      <w:r>
        <w:rPr>
          <w:rFonts w:ascii="仿宋_GB2312" w:eastAsia="仿宋_GB2312" w:hAnsi="仿宋_GB2312" w:cs="仿宋_GB2312" w:hint="eastAsia"/>
          <w:sz w:val="32"/>
          <w:szCs w:val="32"/>
        </w:rPr>
        <w:t>主动公开政府信息情况</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收到和处理政府信息公开申请情况</w:t>
      </w:r>
      <w:r>
        <w:rPr>
          <w:rFonts w:ascii="仿宋_GB2312" w:eastAsia="仿宋_GB2312" w:hAnsi="仿宋_GB2312" w:cs="仿宋_GB2312" w:hint="eastAsia"/>
          <w:sz w:val="32"/>
          <w:szCs w:val="32"/>
          <w:lang w:eastAsia="zh-CN"/>
        </w:rPr>
        <w:t>，因</w:t>
      </w:r>
      <w:r>
        <w:rPr>
          <w:rFonts w:ascii="仿宋_GB2312" w:eastAsia="仿宋_GB2312" w:hAnsi="仿宋_GB2312" w:cs="仿宋_GB2312" w:hint="eastAsia"/>
          <w:sz w:val="32"/>
          <w:szCs w:val="32"/>
        </w:rPr>
        <w:t>政府信息公开</w:t>
      </w:r>
      <w:r>
        <w:rPr>
          <w:rFonts w:ascii="仿宋_GB2312" w:eastAsia="仿宋_GB2312" w:hAnsi="仿宋_GB2312" w:cs="仿宋_GB2312" w:hint="eastAsia"/>
          <w:sz w:val="32"/>
          <w:szCs w:val="32"/>
          <w:lang w:eastAsia="zh-CN"/>
        </w:rPr>
        <w:t>工作被申请</w:t>
      </w:r>
      <w:r>
        <w:rPr>
          <w:rFonts w:ascii="仿宋_GB2312" w:eastAsia="仿宋_GB2312" w:hAnsi="仿宋_GB2312" w:cs="仿宋_GB2312" w:hint="eastAsia"/>
          <w:sz w:val="32"/>
          <w:szCs w:val="32"/>
        </w:rPr>
        <w:t>行政复议、</w:t>
      </w:r>
      <w:r>
        <w:rPr>
          <w:rFonts w:ascii="仿宋_GB2312" w:eastAsia="仿宋_GB2312" w:hAnsi="仿宋_GB2312" w:cs="仿宋_GB2312" w:hint="eastAsia"/>
          <w:sz w:val="32"/>
          <w:szCs w:val="32"/>
          <w:lang w:eastAsia="zh-CN"/>
        </w:rPr>
        <w:t>提起</w:t>
      </w:r>
      <w:r>
        <w:rPr>
          <w:rFonts w:ascii="仿宋_GB2312" w:eastAsia="仿宋_GB2312" w:hAnsi="仿宋_GB2312" w:cs="仿宋_GB2312" w:hint="eastAsia"/>
          <w:sz w:val="32"/>
          <w:szCs w:val="32"/>
        </w:rPr>
        <w:t>行政诉讼情况</w:t>
      </w:r>
      <w:r>
        <w:rPr>
          <w:rFonts w:ascii="仿宋_GB2312" w:eastAsia="仿宋_GB2312" w:hAnsi="仿宋_GB2312" w:cs="仿宋_GB2312" w:hint="eastAsia"/>
          <w:sz w:val="32"/>
          <w:szCs w:val="32"/>
          <w:lang w:eastAsia="zh-CN"/>
        </w:rPr>
        <w:t>、政府信息公开工作</w:t>
      </w:r>
      <w:r>
        <w:rPr>
          <w:rFonts w:ascii="仿宋_GB2312" w:eastAsia="仿宋_GB2312" w:hAnsi="仿宋_GB2312" w:cs="仿宋_GB2312" w:hint="eastAsia"/>
          <w:sz w:val="32"/>
          <w:szCs w:val="32"/>
        </w:rPr>
        <w:t>存在的主要问题及改进情况</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其他需要报告的事项</w:t>
      </w:r>
      <w:r>
        <w:rPr>
          <w:rFonts w:ascii="仿宋_GB2312" w:eastAsia="仿宋_GB2312" w:hAnsi="仿宋_GB2312" w:cs="仿宋_GB2312" w:hint="eastAsia"/>
          <w:sz w:val="32"/>
          <w:szCs w:val="32"/>
          <w:lang w:val="en-US" w:eastAsia="zh-CN"/>
        </w:rPr>
        <w:t>等六部分内容。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本报告所列统计数据的期限自2021年1月1日起至2021年12月31日止。本报告公布于乌苏市人民政府网站和乌苏市水利门户网站。如对本报告有疑问，请于乌苏市水利局办公室联系（地址：乌苏市长江路198号水林大楼6楼，邮编833000，电话：0992-8502624）。</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ascii="Times New Roman" w:eastAsia="黑体" w:hAnsi="Times New Roman" w:cs="宋体"/>
          <w:sz w:val="32"/>
          <w:szCs w:val="32"/>
        </w:rPr>
      </w:pPr>
      <w:r>
        <w:rPr>
          <w:rFonts w:ascii="Times New Roman" w:eastAsia="黑体" w:hAnsi="Times New Roman" w:cs="宋体" w:hint="eastAsia"/>
          <w:sz w:val="32"/>
          <w:szCs w:val="32"/>
        </w:rPr>
        <w:t>一、总体情况</w:t>
      </w:r>
    </w:p>
    <w:p>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ascii="Times New Roman" w:eastAsia="仿宋_GB2312" w:hAnsi="Times New Roman" w:cs="宋体" w:hint="eastAsia"/>
          <w:sz w:val="32"/>
          <w:szCs w:val="32"/>
          <w:lang w:val="en-US" w:eastAsia="zh-CN"/>
        </w:rPr>
      </w:pPr>
      <w:r>
        <w:rPr>
          <w:rFonts w:ascii="Times New Roman" w:eastAsia="仿宋_GB2312" w:hAnsi="Times New Roman" w:cs="宋体" w:hint="eastAsia"/>
          <w:sz w:val="32"/>
          <w:szCs w:val="32"/>
          <w:lang w:val="en-US" w:eastAsia="zh-CN"/>
        </w:rPr>
        <w:t>2021年，乌苏市水利局始终以习近平新时代中国特色社会主义思想为指导，全面贯彻党的十九大和十九届历次全会精神，紧紧围绕市委、市政府重大决策部署和水利中心工作，进一步深化对政府信息公开重要作用的认识，切实提高政府信息公开工作主动性、自觉性，不断提升政府信息公开工作实效。积极推进政府信息公开工作，强化制度机制建设，拓展主动公开领域，注重数据分析解读，积极回应社会关切，完善信息公开平台，秉持“服务、创新、开放”理念，充分发挥水利监管职能，坚持以公开为常态、不公开为例外，全面推进决策、执行、管理、服务、结果公开，持续推进主动公开全面化、重要决策透明化、服务群众便捷化、依申请公开规范化，以公开推进工作落实、助力兴水惠民。</w:t>
      </w:r>
    </w:p>
    <w:p>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ascii="Times New Roman" w:eastAsia="仿宋_GB2312" w:hAnsi="Times New Roman" w:cs="宋体" w:hint="default"/>
          <w:b/>
          <w:bCs/>
          <w:sz w:val="32"/>
          <w:szCs w:val="32"/>
          <w:lang w:val="en-US" w:eastAsia="zh-CN"/>
        </w:rPr>
      </w:pPr>
      <w:r>
        <w:rPr>
          <w:rFonts w:ascii="Times New Roman" w:eastAsia="仿宋_GB2312" w:hAnsi="Times New Roman" w:cs="宋体" w:hint="eastAsia"/>
          <w:b/>
          <w:bCs/>
          <w:sz w:val="32"/>
          <w:szCs w:val="32"/>
          <w:lang w:val="en-US" w:eastAsia="zh-CN"/>
        </w:rPr>
        <w:t>（一）加强组织领导，明确责任机制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textAlignment w:val="auto"/>
        <w:rPr>
          <w:rFonts w:ascii="Times New Roman" w:eastAsia="仿宋_GB2312" w:hAnsi="Times New Roman" w:cs="宋体" w:hint="default"/>
          <w:sz w:val="32"/>
          <w:szCs w:val="32"/>
          <w:lang w:val="en-US" w:eastAsia="zh-CN"/>
        </w:rPr>
      </w:pPr>
      <w:r>
        <w:rPr>
          <w:rFonts w:ascii="Times New Roman" w:eastAsia="仿宋_GB2312" w:hAnsi="Times New Roman" w:cs="宋体" w:hint="eastAsia"/>
          <w:b/>
          <w:bCs/>
          <w:sz w:val="32"/>
          <w:szCs w:val="32"/>
          <w:lang w:val="en-US" w:eastAsia="zh-CN"/>
        </w:rPr>
        <w:t>一是</w:t>
      </w:r>
      <w:r>
        <w:rPr>
          <w:rFonts w:ascii="Times New Roman" w:eastAsia="仿宋_GB2312" w:hAnsi="Times New Roman" w:cs="宋体" w:hint="eastAsia"/>
          <w:sz w:val="32"/>
          <w:szCs w:val="32"/>
          <w:lang w:val="en-US" w:eastAsia="zh-CN"/>
        </w:rPr>
        <w:t>年内召开2次局党组会议，5次局长办公会议，研究部署我局政府信息与政务公开工作，并按照《中共乌苏市水利局党组关于调整领导成员工作分工的通知》（乌水党组[2021]9号），重新明确责任领导和责任部门，并配备1名同志负责政务公开工作。认真贯彻落实政务公开工作要点，全面履行自治区人民政府办公厅《关于印发自治区全面推进基层政务公开标准化规范化工作实施方案的通知》，健全工作机制，细化公开范围、规范公开程序。</w:t>
      </w:r>
      <w:r>
        <w:rPr>
          <w:rFonts w:ascii="Times New Roman" w:eastAsia="仿宋_GB2312" w:hAnsi="Times New Roman" w:cs="宋体" w:hint="eastAsia"/>
          <w:b/>
          <w:bCs/>
          <w:sz w:val="32"/>
          <w:szCs w:val="32"/>
          <w:lang w:val="en-US" w:eastAsia="zh-CN"/>
        </w:rPr>
        <w:t>二是</w:t>
      </w:r>
      <w:r>
        <w:rPr>
          <w:rFonts w:ascii="仿宋_GB2312" w:eastAsia="仿宋_GB2312" w:hAnsi="仿宋_GB2312" w:cs="仿宋_GB2312" w:hint="eastAsia"/>
          <w:color w:val="333333"/>
          <w:kern w:val="2"/>
          <w:sz w:val="32"/>
          <w:szCs w:val="32"/>
          <w:shd w:val="clear" w:color="auto" w:fill="FFFFFF"/>
        </w:rPr>
        <w:t>由办公室负责审核全局下发的各项规范性文件，确保各类行文规范和合法性；严格履行公文登记要求，对上报、下发、借阅的行政文书一律进行登记，确保各类文件追根溯源，倒查追责</w:t>
      </w:r>
      <w:r>
        <w:rPr>
          <w:rFonts w:ascii="仿宋_GB2312" w:eastAsia="仿宋_GB2312" w:hAnsi="仿宋_GB2312" w:cs="仿宋_GB2312" w:hint="eastAsia"/>
          <w:color w:val="333333"/>
          <w:kern w:val="2"/>
          <w:sz w:val="32"/>
          <w:szCs w:val="32"/>
          <w:shd w:val="clear" w:color="auto" w:fill="FFFFFF"/>
          <w:lang w:eastAsia="zh-CN"/>
        </w:rPr>
        <w:t>。</w:t>
      </w:r>
      <w:r>
        <w:rPr>
          <w:rFonts w:ascii="仿宋_GB2312" w:eastAsia="仿宋_GB2312" w:hAnsi="仿宋_GB2312" w:cs="仿宋_GB2312" w:hint="eastAsia"/>
          <w:b/>
          <w:bCs/>
          <w:color w:val="333333"/>
          <w:kern w:val="2"/>
          <w:sz w:val="32"/>
          <w:szCs w:val="32"/>
          <w:shd w:val="clear" w:color="auto" w:fill="FFFFFF"/>
          <w:lang w:eastAsia="zh-CN"/>
        </w:rPr>
        <w:t>三是</w:t>
      </w:r>
      <w:r>
        <w:rPr>
          <w:rFonts w:ascii="仿宋_GB2312" w:eastAsia="仿宋_GB2312" w:hAnsi="仿宋_GB2312" w:cs="仿宋_GB2312" w:hint="eastAsia"/>
          <w:sz w:val="32"/>
          <w:szCs w:val="32"/>
          <w:lang w:val="en-US" w:eastAsia="zh-CN"/>
        </w:rPr>
        <w:t>严格遵守规范性文件备案审查办法、规范性文件制定规程，规范性文件备案格式等规定，对规范性文件的规划、调研、起草、社会参与、论证、审查、备案等每个环节都严格对照执行，规范性文件的备案审查工作日益制度化、规范化、有效化。年度制发规章3件，现行有效3件；年度制定规范性文件0件，规范性文件0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Times New Roman" w:eastAsia="仿宋_GB2312" w:hAnsi="Times New Roman" w:cs="宋体" w:hint="default"/>
          <w:b/>
          <w:bCs/>
          <w:sz w:val="32"/>
          <w:szCs w:val="32"/>
          <w:lang w:val="en-US" w:eastAsia="zh-CN"/>
        </w:rPr>
      </w:pPr>
      <w:r>
        <w:rPr>
          <w:rFonts w:ascii="Times New Roman" w:eastAsia="仿宋_GB2312" w:hAnsi="Times New Roman" w:cs="宋体" w:hint="eastAsia"/>
          <w:b/>
          <w:bCs/>
          <w:sz w:val="32"/>
          <w:szCs w:val="32"/>
          <w:lang w:val="en-US" w:eastAsia="zh-CN"/>
        </w:rPr>
        <w:t>（二）健全公开制度，完善平台建设</w:t>
      </w:r>
    </w:p>
    <w:p>
      <w:pPr>
        <w:pStyle w:val="NormalWeb"/>
        <w:keepNext w:val="0"/>
        <w:keepLines w:val="0"/>
        <w:pageBreakBefore w:val="0"/>
        <w:widowControl/>
        <w:kinsoku/>
        <w:wordWrap/>
        <w:overflowPunct/>
        <w:topLinePunct w:val="0"/>
        <w:autoSpaceDE/>
        <w:autoSpaceDN/>
        <w:bidi w:val="0"/>
        <w:spacing w:before="0" w:beforeAutospacing="0" w:after="0" w:afterAutospacing="0" w:line="520" w:lineRule="exact"/>
        <w:ind w:firstLine="640" w:firstLineChars="200"/>
        <w:jc w:val="both"/>
        <w:textAlignment w:val="auto"/>
        <w:rPr>
          <w:rFonts w:ascii="Times New Roman" w:eastAsia="仿宋_GB2312" w:hAnsi="Times New Roman" w:cs="宋体" w:hint="eastAsia"/>
          <w:sz w:val="32"/>
          <w:szCs w:val="32"/>
          <w:lang w:val="en-US" w:eastAsia="zh-CN"/>
        </w:rPr>
      </w:pPr>
      <w:r>
        <w:rPr>
          <w:rFonts w:ascii="Times New Roman" w:eastAsia="仿宋_GB2312" w:hAnsi="Times New Roman" w:cs="宋体" w:hint="eastAsia"/>
          <w:sz w:val="32"/>
          <w:szCs w:val="32"/>
          <w:lang w:val="en-US" w:eastAsia="zh-CN"/>
        </w:rPr>
        <w:t>一是健全完善乌苏市水利局门户网站政府信息公开申请登记、审核、办理、答复、归档等各项内部工作制度。加强政府信息管理，确保政府信息公开数据“统得出、抱得准、可核查”，更好发挥政府信息公开的监督、规范作用。二是完善公开平台载体建设。按照信息保障制度规范管理，加强网络运行管理和维护，确保门户网站、微信公众号正常高效运转。</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Times New Roman" w:eastAsia="仿宋_GB2312" w:hAnsi="Times New Roman" w:cs="宋体" w:hint="eastAsia"/>
          <w:b/>
          <w:bCs/>
          <w:sz w:val="32"/>
          <w:szCs w:val="32"/>
          <w:lang w:val="en-US" w:eastAsia="zh-CN"/>
        </w:rPr>
      </w:pPr>
      <w:r>
        <w:rPr>
          <w:rFonts w:ascii="Times New Roman" w:eastAsia="仿宋_GB2312" w:hAnsi="Times New Roman" w:cs="宋体" w:hint="eastAsia"/>
          <w:b/>
          <w:bCs/>
          <w:sz w:val="32"/>
          <w:szCs w:val="32"/>
          <w:lang w:val="en-US" w:eastAsia="zh-CN"/>
        </w:rPr>
        <w:t>（三）注重业务培训，加强监督检查</w:t>
      </w:r>
    </w:p>
    <w:p>
      <w:pPr>
        <w:pStyle w:val="NormalWeb"/>
        <w:keepNext w:val="0"/>
        <w:keepLines w:val="0"/>
        <w:pageBreakBefore w:val="0"/>
        <w:widowControl/>
        <w:kinsoku/>
        <w:wordWrap/>
        <w:overflowPunct/>
        <w:topLinePunct w:val="0"/>
        <w:autoSpaceDE/>
        <w:autoSpaceDN/>
        <w:bidi w:val="0"/>
        <w:spacing w:before="0" w:beforeAutospacing="0" w:after="0" w:afterAutospacing="0" w:line="520" w:lineRule="exact"/>
        <w:ind w:firstLine="640" w:firstLineChars="200"/>
        <w:jc w:val="both"/>
        <w:textAlignment w:val="auto"/>
        <w:rPr>
          <w:rFonts w:ascii="Times New Roman" w:eastAsia="仿宋_GB2312" w:hAnsi="Times New Roman" w:cs="宋体" w:hint="eastAsia"/>
          <w:sz w:val="32"/>
          <w:szCs w:val="32"/>
          <w:lang w:val="en-US" w:eastAsia="zh-CN"/>
        </w:rPr>
      </w:pPr>
      <w:r>
        <w:rPr>
          <w:rFonts w:ascii="Times New Roman" w:eastAsia="仿宋_GB2312" w:hAnsi="Times New Roman" w:cs="宋体" w:hint="eastAsia"/>
          <w:sz w:val="32"/>
          <w:szCs w:val="32"/>
          <w:lang w:val="en-US" w:eastAsia="zh-CN"/>
        </w:rPr>
        <w:t>按要求组织人员参加市委、市政府组织的各类政务信息培训，积极参加政务公开各类工作会议。同时加强本单位政务公开工作领导小组成员、部门负责人、专职人员、新入职人员政务公开和政务信息工作培训。及时开展政务公开监督检查，完善公开界面，细化公开范围，优化公开程序，健全公开机制，确保政务公开工作严谨、及时、准确，为群众提供优质服务，同时健全违法举报制度，在门户网站和微信公众号公布举报电话和举报邮箱，建立举报台账。</w:t>
      </w:r>
    </w:p>
    <w:p>
      <w:pPr>
        <w:pStyle w:val="NormalWeb"/>
        <w:keepNext w:val="0"/>
        <w:keepLines w:val="0"/>
        <w:pageBreakBefore w:val="0"/>
        <w:widowControl/>
        <w:kinsoku/>
        <w:wordWrap/>
        <w:overflowPunct/>
        <w:topLinePunct w:val="0"/>
        <w:autoSpaceDE/>
        <w:autoSpaceDN/>
        <w:bidi w:val="0"/>
        <w:spacing w:before="0" w:beforeAutospacing="0" w:after="0" w:afterAutospacing="0" w:line="520" w:lineRule="exact"/>
        <w:ind w:firstLine="640" w:firstLineChars="200"/>
        <w:jc w:val="both"/>
        <w:textAlignment w:val="auto"/>
        <w:rPr>
          <w:rFonts w:ascii="Times New Roman" w:eastAsia="仿宋_GB2312" w:hAnsi="Times New Roman" w:cs="宋体" w:hint="eastAsia"/>
          <w:sz w:val="32"/>
          <w:szCs w:val="32"/>
          <w:lang w:val="en-US" w:eastAsia="zh-CN"/>
        </w:rPr>
      </w:pPr>
      <w:r>
        <w:rPr>
          <w:rFonts w:ascii="Times New Roman" w:eastAsia="仿宋_GB2312" w:hAnsi="Times New Roman" w:cs="宋体" w:hint="eastAsia"/>
          <w:b/>
          <w:bCs/>
          <w:sz w:val="32"/>
          <w:szCs w:val="32"/>
          <w:lang w:val="en-US" w:eastAsia="zh-CN"/>
        </w:rPr>
        <w:t>（四）落实重点领域，主动公开信息</w:t>
      </w:r>
    </w:p>
    <w:p>
      <w:pPr>
        <w:pStyle w:val="NormalWeb"/>
        <w:keepNext w:val="0"/>
        <w:keepLines w:val="0"/>
        <w:pageBreakBefore w:val="0"/>
        <w:widowControl/>
        <w:kinsoku/>
        <w:wordWrap/>
        <w:overflowPunct/>
        <w:topLinePunct w:val="0"/>
        <w:autoSpaceDE/>
        <w:autoSpaceDN/>
        <w:bidi w:val="0"/>
        <w:spacing w:before="0" w:beforeAutospacing="0" w:after="0" w:afterAutospacing="0" w:line="520" w:lineRule="exact"/>
        <w:ind w:firstLine="640" w:firstLineChars="200"/>
        <w:jc w:val="both"/>
        <w:textAlignment w:val="auto"/>
        <w:rPr>
          <w:rFonts w:ascii="Times New Roman" w:eastAsia="仿宋_GB2312" w:hAnsi="Times New Roman" w:cs="宋体" w:hint="eastAsia"/>
          <w:sz w:val="32"/>
          <w:szCs w:val="32"/>
          <w:lang w:val="en-US" w:eastAsia="zh-CN"/>
        </w:rPr>
      </w:pPr>
      <w:r>
        <w:rPr>
          <w:rFonts w:ascii="Times New Roman" w:eastAsia="仿宋_GB2312" w:hAnsi="Times New Roman" w:cs="宋体" w:hint="eastAsia"/>
          <w:sz w:val="32"/>
          <w:szCs w:val="32"/>
          <w:lang w:val="en-US" w:eastAsia="zh-CN"/>
        </w:rPr>
        <w:t>一是进一步升级门户网站和微信公众号，完善信息公开专栏和类别，设置宣传动态、水利业务、机构设置、党群工作、政务服务、政府信息公开等目录，并接受搜索，确保群众迫切了解的水利信息均能有所收获。二是全面依托乌苏市人民政务网站，官方网站权威性和受众面广的特点，主动公开政务信息，确保政务信息公开范围和知晓率。三是及时、完整、全面做好财政预算、决算公开工作，及时公开人大建议与政协提案办理情况、行政处罚、政府购买服务等信息，按照部门权责清单104项，9项行政许可事项、4项涉及工程审批制度改革事项，本年度无增减项目。全年我局做出行政处罚75件，无行政强制案件，行政许可2787项，行政事业性收费8189.215417万元，政府集中采购金额56.1269万元。</w:t>
      </w:r>
    </w:p>
    <w:p>
      <w:pPr>
        <w:pStyle w:val="NormalWeb"/>
        <w:keepNext w:val="0"/>
        <w:keepLines w:val="0"/>
        <w:pageBreakBefore w:val="0"/>
        <w:widowControl/>
        <w:kinsoku/>
        <w:wordWrap/>
        <w:overflowPunct/>
        <w:topLinePunct w:val="0"/>
        <w:autoSpaceDE/>
        <w:autoSpaceDN/>
        <w:bidi w:val="0"/>
        <w:spacing w:before="0" w:beforeAutospacing="0" w:after="0" w:afterAutospacing="0" w:line="520" w:lineRule="exact"/>
        <w:ind w:firstLine="640" w:firstLineChars="200"/>
        <w:jc w:val="both"/>
        <w:textAlignment w:val="auto"/>
        <w:rPr>
          <w:rFonts w:ascii="Times New Roman" w:eastAsia="仿宋_GB2312" w:hAnsi="Times New Roman" w:cs="宋体" w:hint="default"/>
          <w:b/>
          <w:bCs/>
          <w:sz w:val="32"/>
          <w:szCs w:val="32"/>
          <w:lang w:val="en-US" w:eastAsia="zh-CN"/>
        </w:rPr>
      </w:pPr>
      <w:r>
        <w:rPr>
          <w:rFonts w:ascii="Times New Roman" w:eastAsia="仿宋_GB2312" w:hAnsi="Times New Roman" w:cs="宋体" w:hint="eastAsia"/>
          <w:b/>
          <w:bCs/>
          <w:sz w:val="32"/>
          <w:szCs w:val="32"/>
          <w:lang w:val="en-US" w:eastAsia="zh-CN"/>
        </w:rPr>
        <w:t>（五）落实依申请公开，积极回应社会关切。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Times New Roman" w:eastAsia="仿宋_GB2312" w:hAnsi="Times New Roman" w:cs="宋体" w:hint="default"/>
          <w:sz w:val="32"/>
          <w:szCs w:val="32"/>
          <w:lang w:val="en-US" w:eastAsia="zh-CN"/>
        </w:rPr>
      </w:pPr>
      <w:r>
        <w:rPr>
          <w:rFonts w:ascii="Times New Roman" w:eastAsia="仿宋_GB2312" w:hAnsi="Times New Roman" w:cs="宋体" w:hint="eastAsia"/>
          <w:sz w:val="32"/>
          <w:szCs w:val="32"/>
          <w:lang w:val="en-US" w:eastAsia="zh-CN"/>
        </w:rPr>
        <w:t>一是认真做好依申请公开工作，全年共接到依申请公开信件0件，收到网上依申请公开留言0条。二是优质高效做好年去群众来电咨询和转办事项，规范受理、处置、反馈等流程机制，确保群众合理诉求得到及时处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Times New Roman" w:eastAsia="黑体" w:hAnsi="Times New Roman" w:cs="宋体" w:hint="eastAsia"/>
          <w:sz w:val="32"/>
          <w:szCs w:val="30"/>
          <w:lang w:eastAsia="zh-CN"/>
        </w:rPr>
      </w:pPr>
      <w:r>
        <w:rPr>
          <w:rFonts w:ascii="Times New Roman" w:eastAsia="黑体" w:hAnsi="Times New Roman" w:cs="宋体" w:hint="eastAsia"/>
          <w:sz w:val="32"/>
          <w:szCs w:val="30"/>
          <w:lang w:eastAsia="zh-CN"/>
        </w:rPr>
        <w:t>二、主动公开政府信息情况</w:t>
      </w:r>
    </w:p>
    <w:tbl>
      <w:tblPr>
        <w:tblStyle w:val="TableNormal"/>
        <w:tblW w:w="9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435"/>
        <w:gridCol w:w="2435"/>
        <w:gridCol w:w="2435"/>
        <w:gridCol w:w="2435"/>
      </w:tblGrid>
      <w:tr>
        <w:tblPrEx>
          <w:tblW w:w="9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第二十条第（一）项</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本年制发件数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本年废止件数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现行有效件数</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规章</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eastAsia="宋体" w:hAnsi="宋体" w:cs="宋体" w:hint="eastAsia"/>
                <w:color w:val="auto"/>
                <w:kern w:val="0"/>
                <w:sz w:val="20"/>
                <w:szCs w:val="20"/>
                <w:lang w:val="en-US" w:eastAsia="zh-CN" w:bidi="ar"/>
              </w:rPr>
              <w:t>3</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eastAsia="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eastAsia="宋体" w:cs="Calibri" w:hint="eastAsia"/>
                <w:color w:val="auto"/>
                <w:kern w:val="0"/>
                <w:sz w:val="21"/>
                <w:szCs w:val="21"/>
                <w:lang w:val="en-US" w:eastAsia="zh-CN" w:bidi="ar"/>
              </w:rPr>
              <w:t>3</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行政规范性文件</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cs="Calibri" w:hint="eastAsia"/>
                <w:color w:val="auto"/>
                <w:kern w:val="0"/>
                <w:sz w:val="21"/>
                <w:szCs w:val="21"/>
                <w:lang w:val="en-US" w:eastAsia="zh-CN" w:bidi="ar"/>
              </w:rPr>
              <w:t>0</w:t>
            </w:r>
          </w:p>
        </w:tc>
      </w:tr>
      <w:tr>
        <w:tblPrEx>
          <w:tblW w:w="9740" w:type="dxa"/>
          <w:jc w:val="center"/>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第二十条第（五）项</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行政许可</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cs="Calibri" w:hint="eastAsia"/>
                <w:color w:val="auto"/>
                <w:kern w:val="0"/>
                <w:sz w:val="21"/>
                <w:szCs w:val="21"/>
                <w:lang w:val="en-US" w:eastAsia="zh-CN" w:bidi="ar"/>
              </w:rPr>
              <w:t>2787</w:t>
            </w:r>
          </w:p>
        </w:tc>
      </w:tr>
      <w:tr>
        <w:tblPrEx>
          <w:tblW w:w="9740" w:type="dxa"/>
          <w:jc w:val="center"/>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第二十条第（六）项</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行政处罚</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eastAsia="宋体" w:hAnsi="宋体" w:cs="宋体" w:hint="eastAsia"/>
                <w:color w:val="auto"/>
                <w:kern w:val="0"/>
                <w:sz w:val="20"/>
                <w:szCs w:val="20"/>
                <w:lang w:val="en-US" w:eastAsia="zh-CN" w:bidi="ar"/>
              </w:rPr>
              <w:t>75</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行政强制</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eastAsia="宋体" w:hAnsi="宋体" w:cs="宋体" w:hint="eastAsia"/>
                <w:color w:val="auto"/>
                <w:kern w:val="0"/>
                <w:sz w:val="20"/>
                <w:szCs w:val="20"/>
                <w:lang w:val="en-US" w:eastAsia="zh-CN" w:bidi="ar"/>
              </w:rPr>
              <w:t>0</w:t>
            </w:r>
          </w:p>
        </w:tc>
      </w:tr>
      <w:tr>
        <w:tblPrEx>
          <w:tblW w:w="9740" w:type="dxa"/>
          <w:jc w:val="center"/>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第二十条第（八）项</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本年收费金额（单位：万元）</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行政事业性收费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jc w:val="center"/>
              <w:textAlignment w:val="auto"/>
              <w:rPr>
                <w:rFonts w:ascii="宋体" w:hint="eastAsia"/>
                <w:color w:val="auto"/>
                <w:sz w:val="24"/>
                <w:szCs w:val="24"/>
              </w:rPr>
            </w:pPr>
            <w:r>
              <w:rPr>
                <w:rFonts w:ascii="宋体" w:eastAsia="宋体" w:hAnsi="宋体" w:cs="宋体" w:hint="eastAsia"/>
                <w:color w:val="auto"/>
                <w:kern w:val="0"/>
                <w:sz w:val="20"/>
                <w:szCs w:val="20"/>
                <w:lang w:val="en-US" w:eastAsia="zh-CN" w:bidi="ar"/>
              </w:rPr>
              <w:t>8189.215417</w:t>
            </w:r>
          </w:p>
        </w:tc>
      </w:tr>
    </w:tbl>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Times New Roman" w:eastAsia="黑体" w:hAnsi="Times New Roman" w:cs="宋体" w:hint="eastAsia"/>
          <w:sz w:val="32"/>
          <w:szCs w:val="30"/>
          <w:lang w:eastAsia="zh-CN"/>
        </w:rPr>
      </w:pPr>
      <w:r>
        <w:rPr>
          <w:rFonts w:ascii="Times New Roman" w:eastAsia="黑体" w:hAnsi="Times New Roman" w:cs="宋体" w:hint="eastAsia"/>
          <w:sz w:val="32"/>
          <w:szCs w:val="30"/>
          <w:lang w:eastAsia="zh-CN"/>
        </w:rPr>
        <w:t>三、收到和处理政府信息公开申请情况</w:t>
      </w:r>
    </w:p>
    <w:tbl>
      <w:tblPr>
        <w:tblStyle w:val="TableNormal"/>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楷体" w:eastAsia="楷体" w:hAnsi="楷体" w:cs="楷体" w:hint="eastAsia"/>
                <w:color w:val="auto"/>
                <w:kern w:val="0"/>
                <w:sz w:val="20"/>
                <w:szCs w:val="20"/>
                <w:lang w:val="en-US" w:eastAsia="zh-CN"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申请人情况</w:t>
            </w:r>
          </w:p>
        </w:tc>
      </w:tr>
      <w:tr>
        <w:tblPrEx>
          <w:tblW w:w="9748" w:type="dxa"/>
          <w:jc w:val="center"/>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val="restart"/>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自然人</w:t>
            </w:r>
          </w:p>
        </w:tc>
        <w:tc>
          <w:tcPr>
            <w:tcW w:w="3440" w:type="dxa"/>
            <w:gridSpan w:val="5"/>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法人或其他组织</w:t>
            </w:r>
          </w:p>
        </w:tc>
        <w:tc>
          <w:tcPr>
            <w:tcW w:w="689" w:type="dxa"/>
            <w:vMerge w:val="restart"/>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商业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企业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科研</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社会公益组织</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法律服务机构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其他</w:t>
            </w:r>
          </w:p>
        </w:tc>
        <w:tc>
          <w:tcPr>
            <w:tcW w:w="689" w:type="dxa"/>
            <w:vMerge/>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r>
        <w:tblPrEx>
          <w:tblW w:w="9748" w:type="dxa"/>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一、本年新收政府信息公开申请数量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二、上年结转政府信息公开申请数量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val="restart"/>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三、本年度办理结果</w:t>
            </w: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（一）予以公开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（二）部分公开</w:t>
            </w:r>
            <w:r>
              <w:rPr>
                <w:rFonts w:ascii="楷体" w:eastAsia="楷体" w:hAnsi="楷体" w:cs="楷体" w:hint="eastAsia"/>
                <w:color w:val="auto"/>
                <w:kern w:val="0"/>
                <w:sz w:val="20"/>
                <w:szCs w:val="20"/>
                <w:lang w:val="en-US" w:eastAsia="zh-CN" w:bidi="ar"/>
              </w:rPr>
              <w:t>（区分处理的，只计这一情形，不计其他情形）</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（三）不予公开</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1.属于国家秘密</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2.其他法律行政法规禁止公开</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3.危及“三安全一稳定”</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4.保护第三方合法权益</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5.属于三类内部事务信息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6.属于四类过程性信息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7.属于行政执法案卷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8.属于行政查询事项</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（四）无法提供</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1.本机关不掌握相关政府信息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2.没有现成信息需要另行制作</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3.补正后申请内容仍不明确</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（五）不予处理</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1.信访举报投诉类申请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2.重复申请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3.要求提供公开出版物</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4.无正当理由大量反复申请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trHeight w:val="779"/>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5.要求行政机关确认或重新出具已获取信息</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（六）其他处理</w:t>
            </w: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3.其他</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（七）总计</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四、结转下年度继续办理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宋体" w:hint="eastAsia"/>
                <w:color w:val="auto"/>
                <w:sz w:val="24"/>
                <w:szCs w:val="24"/>
              </w:rPr>
            </w:pPr>
            <w:r>
              <w:rPr>
                <w:rFonts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bl>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Times New Roman" w:eastAsia="黑体" w:hAnsi="Times New Roman" w:cs="宋体" w:hint="eastAsia"/>
          <w:sz w:val="32"/>
          <w:szCs w:val="30"/>
          <w:lang w:eastAsia="zh-CN"/>
        </w:rPr>
      </w:pPr>
      <w:r>
        <w:rPr>
          <w:rFonts w:ascii="Times New Roman" w:eastAsia="黑体" w:hAnsi="Times New Roman" w:cs="宋体" w:hint="eastAsia"/>
          <w:sz w:val="32"/>
          <w:szCs w:val="30"/>
          <w:lang w:eastAsia="zh-CN"/>
        </w:rPr>
        <w:t>四、政府信息公开行政复议、行政诉讼情况</w:t>
      </w:r>
    </w:p>
    <w:tbl>
      <w:tblPr>
        <w:tblStyle w:val="TableNormal"/>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324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行政复议</w:t>
            </w:r>
          </w:p>
        </w:tc>
        <w:tc>
          <w:tcPr>
            <w:tcW w:w="6503" w:type="dxa"/>
            <w:gridSpan w:val="10"/>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行政诉讼</w:t>
            </w:r>
          </w:p>
        </w:tc>
      </w:tr>
      <w:tr>
        <w:tblPrEx>
          <w:tblW w:w="9748" w:type="dxa"/>
          <w:jc w:val="center"/>
          <w:tblLayout w:type="fixed"/>
          <w:tblCellMar>
            <w:top w:w="0" w:type="dxa"/>
            <w:left w:w="0" w:type="dxa"/>
            <w:bottom w:w="0" w:type="dxa"/>
            <w:right w:w="0" w:type="dxa"/>
          </w:tblCellMar>
        </w:tblPrEx>
        <w:trPr>
          <w:jc w:val="center"/>
        </w:trPr>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结果维持</w:t>
            </w:r>
          </w:p>
        </w:tc>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纠正</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其他</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尚未</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审结</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3248"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复议后起诉</w:t>
            </w:r>
          </w:p>
        </w:tc>
      </w:tr>
      <w:tr>
        <w:tblPrEx>
          <w:tblW w:w="9748" w:type="dxa"/>
          <w:jc w:val="center"/>
          <w:tblLayout w:type="fixed"/>
          <w:tblCellMar>
            <w:top w:w="0" w:type="dxa"/>
            <w:left w:w="0" w:type="dxa"/>
            <w:bottom w:w="0" w:type="dxa"/>
            <w:right w:w="0" w:type="dxa"/>
          </w:tblCellMar>
        </w:tblPrEx>
        <w:trPr>
          <w:jc w:val="center"/>
        </w:trPr>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维持</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纠正</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其他</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尚未</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审结</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维持</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纠正</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其他</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尚未</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审结</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Layout w:type="fixed"/>
          <w:tblCellMar>
            <w:top w:w="0" w:type="dxa"/>
            <w:left w:w="0" w:type="dxa"/>
            <w:bottom w:w="0" w:type="dxa"/>
            <w:right w:w="0" w:type="dxa"/>
          </w:tblCellMar>
        </w:tblPrEx>
        <w:trPr>
          <w:trHeight w:val="672"/>
          <w:jc w:val="center"/>
        </w:trPr>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rFonts w:ascii="宋体" w:hint="eastAsia"/>
                <w:color w:val="auto"/>
                <w:sz w:val="24"/>
                <w:szCs w:val="24"/>
              </w:rPr>
            </w:pPr>
            <w:r>
              <w:rPr>
                <w:rFonts w:ascii="黑体" w:eastAsia="黑体" w:hAnsi="宋体" w:cs="黑体" w:hint="eastAsia"/>
                <w:color w:val="auto"/>
                <w:kern w:val="0"/>
                <w:sz w:val="20"/>
                <w:szCs w:val="20"/>
                <w:lang w:val="en-US" w:eastAsia="zh-CN" w:bidi="ar"/>
              </w:rPr>
              <w:t>0</w:t>
            </w:r>
          </w:p>
        </w:tc>
      </w:tr>
    </w:tbl>
    <w:p>
      <w:pPr>
        <w:spacing w:line="560" w:lineRule="exact"/>
        <w:ind w:firstLine="640" w:firstLineChars="200"/>
        <w:rPr>
          <w:rFonts w:ascii="Times New Roman" w:eastAsia="黑体" w:hAnsi="Times New Roman" w:cs="宋体" w:hint="eastAsia"/>
          <w:sz w:val="32"/>
          <w:szCs w:val="32"/>
        </w:rPr>
      </w:pPr>
      <w:r>
        <w:rPr>
          <w:rFonts w:ascii="Times New Roman" w:eastAsia="黑体" w:hAnsi="Times New Roman" w:cs="宋体" w:hint="eastAsia"/>
          <w:sz w:val="32"/>
          <w:szCs w:val="32"/>
        </w:rPr>
        <w:t>五、存在的主要问题及改进情况</w:t>
      </w:r>
    </w:p>
    <w:p>
      <w:pPr>
        <w:spacing w:line="560" w:lineRule="exact"/>
        <w:ind w:firstLine="640" w:firstLineChars="200"/>
        <w:rPr>
          <w:rFonts w:ascii="Times New Roman" w:eastAsia="黑体" w:hAnsi="Times New Roman" w:cs="宋体" w:hint="eastAsia"/>
          <w:sz w:val="32"/>
          <w:szCs w:val="32"/>
          <w:lang w:eastAsia="zh-CN"/>
        </w:rPr>
      </w:pPr>
      <w:r>
        <w:rPr>
          <w:rFonts w:ascii="Times New Roman" w:eastAsia="黑体" w:hAnsi="Times New Roman" w:cs="宋体" w:hint="eastAsia"/>
          <w:sz w:val="32"/>
          <w:szCs w:val="32"/>
          <w:lang w:eastAsia="zh-CN"/>
        </w:rPr>
        <w:t>（一）存在的主要问题</w:t>
      </w:r>
    </w:p>
    <w:p>
      <w:pPr>
        <w:spacing w:line="560" w:lineRule="exact"/>
        <w:ind w:firstLine="640" w:firstLineChars="200"/>
        <w:rPr>
          <w:rFonts w:ascii="仿宋" w:eastAsia="仿宋" w:hAnsi="仿宋" w:cs="仿宋" w:hint="eastAsia"/>
          <w:sz w:val="32"/>
          <w:szCs w:val="32"/>
          <w:lang w:val="en-US" w:eastAsia="zh-CN"/>
        </w:rPr>
      </w:pPr>
      <w:r>
        <w:rPr>
          <w:rFonts w:ascii="仿宋" w:eastAsia="仿宋" w:hAnsi="仿宋" w:cs="仿宋" w:hint="eastAsia"/>
          <w:b w:val="0"/>
          <w:bCs w:val="0"/>
          <w:sz w:val="32"/>
          <w:szCs w:val="32"/>
          <w:lang w:val="en-US" w:eastAsia="zh-CN"/>
        </w:rPr>
        <w:t>1、</w:t>
      </w:r>
      <w:r>
        <w:rPr>
          <w:rFonts w:ascii="仿宋" w:eastAsia="仿宋" w:hAnsi="仿宋" w:cs="仿宋" w:hint="eastAsia"/>
          <w:sz w:val="32"/>
          <w:szCs w:val="32"/>
          <w:lang w:val="en-US" w:eastAsia="zh-CN"/>
        </w:rPr>
        <w:t>公开内容还需进一步深化，信息公开广度、深度、力度和频率还要进一步提高。</w:t>
      </w:r>
    </w:p>
    <w:p>
      <w:pPr>
        <w:spacing w:line="560" w:lineRule="exact"/>
        <w:ind w:firstLine="637" w:firstLineChars="199"/>
        <w:rPr>
          <w:rFonts w:ascii="仿宋" w:eastAsia="仿宋" w:hAnsi="仿宋" w:cs="仿宋" w:hint="eastAsia"/>
          <w:sz w:val="32"/>
          <w:szCs w:val="32"/>
          <w:lang w:val="en-US" w:eastAsia="zh-CN"/>
        </w:rPr>
      </w:pPr>
      <w:r>
        <w:rPr>
          <w:rFonts w:ascii="仿宋" w:eastAsia="仿宋" w:hAnsi="仿宋" w:cs="仿宋" w:hint="eastAsia"/>
          <w:sz w:val="32"/>
          <w:szCs w:val="32"/>
          <w:lang w:val="en-US" w:eastAsia="zh-CN"/>
        </w:rPr>
        <w:t>2、政策解读形式单一，高质量政策解读信息偏少。</w:t>
      </w:r>
    </w:p>
    <w:p>
      <w:pPr>
        <w:spacing w:line="560" w:lineRule="exact"/>
        <w:ind w:firstLine="637" w:firstLineChars="199"/>
        <w:rPr>
          <w:rFonts w:ascii="仿宋" w:eastAsia="仿宋" w:hAnsi="仿宋" w:cs="仿宋" w:hint="eastAsia"/>
          <w:sz w:val="32"/>
          <w:szCs w:val="32"/>
          <w:lang w:val="en-US" w:eastAsia="zh-CN"/>
        </w:rPr>
      </w:pPr>
      <w:r>
        <w:rPr>
          <w:rFonts w:ascii="仿宋" w:eastAsia="仿宋" w:hAnsi="仿宋" w:cs="仿宋" w:hint="eastAsia"/>
          <w:sz w:val="32"/>
          <w:szCs w:val="32"/>
          <w:lang w:val="en-US" w:eastAsia="zh-CN"/>
        </w:rPr>
        <w:t>3、信息公开平台系统建设还要进一步完善。</w:t>
      </w:r>
    </w:p>
    <w:p>
      <w:pPr>
        <w:spacing w:line="560" w:lineRule="exact"/>
        <w:ind w:firstLine="637" w:firstLineChars="199"/>
        <w:rPr>
          <w:rFonts w:ascii="Times New Roman" w:eastAsia="黑体" w:hAnsi="Times New Roman" w:cs="宋体" w:hint="eastAsia"/>
          <w:sz w:val="32"/>
          <w:szCs w:val="32"/>
          <w:lang w:eastAsia="zh-CN"/>
        </w:rPr>
      </w:pPr>
      <w:r>
        <w:rPr>
          <w:rFonts w:ascii="Times New Roman" w:eastAsia="黑体" w:hAnsi="Times New Roman" w:cs="宋体" w:hint="eastAsia"/>
          <w:sz w:val="32"/>
          <w:szCs w:val="32"/>
          <w:lang w:eastAsia="zh-CN"/>
        </w:rPr>
        <w:t>（二）改进情况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37" w:firstLineChars="199"/>
        <w:textAlignment w:val="auto"/>
        <w:rPr>
          <w:rFonts w:ascii="仿宋" w:eastAsia="仿宋" w:hAnsi="仿宋" w:cs="仿宋" w:hint="eastAsia"/>
          <w:sz w:val="32"/>
          <w:szCs w:val="32"/>
          <w:lang w:val="en-US" w:eastAsia="zh-CN"/>
        </w:rPr>
      </w:pPr>
      <w:r>
        <w:rPr>
          <w:rFonts w:ascii="仿宋" w:eastAsia="仿宋" w:hAnsi="仿宋" w:cs="仿宋" w:hint="eastAsia"/>
          <w:b/>
          <w:bCs/>
          <w:sz w:val="32"/>
          <w:szCs w:val="32"/>
          <w:lang w:val="en-US" w:eastAsia="zh-CN"/>
        </w:rPr>
        <w:t>1、加强学习、宣传和培训。</w:t>
      </w:r>
      <w:r>
        <w:rPr>
          <w:rFonts w:ascii="仿宋" w:eastAsia="仿宋" w:hAnsi="仿宋" w:cs="仿宋" w:hint="eastAsia"/>
          <w:sz w:val="32"/>
          <w:szCs w:val="32"/>
          <w:lang w:val="en-US" w:eastAsia="zh-CN"/>
        </w:rPr>
        <w:t>提高统计人员主动公开政府政务信息的意识，不断提升政府信息与政务公开工作能力水平。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37" w:firstLineChars="199"/>
        <w:textAlignment w:val="auto"/>
        <w:rPr>
          <w:rFonts w:ascii="仿宋" w:eastAsia="仿宋" w:hAnsi="仿宋" w:cs="仿宋" w:hint="eastAsia"/>
          <w:sz w:val="32"/>
          <w:szCs w:val="32"/>
          <w:lang w:val="en-US" w:eastAsia="zh-CN"/>
        </w:rPr>
      </w:pPr>
      <w:r>
        <w:rPr>
          <w:rFonts w:ascii="仿宋" w:eastAsia="仿宋" w:hAnsi="仿宋" w:cs="仿宋" w:hint="eastAsia"/>
          <w:b/>
          <w:bCs/>
          <w:sz w:val="32"/>
          <w:szCs w:val="32"/>
          <w:lang w:val="en-US" w:eastAsia="zh-CN"/>
        </w:rPr>
        <w:t>2、完善和拓展信息公开内容。</w:t>
      </w:r>
      <w:r>
        <w:rPr>
          <w:rFonts w:ascii="仿宋" w:eastAsia="仿宋" w:hAnsi="仿宋" w:cs="仿宋" w:hint="eastAsia"/>
          <w:sz w:val="32"/>
          <w:szCs w:val="32"/>
          <w:lang w:val="en-US" w:eastAsia="zh-CN"/>
        </w:rPr>
        <w:t>丰富政策解读，数据解读形式，利用传媒与新媒体两个平台，积极向广大群众宣传统计政策法规，及时高效发布统计数据。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37" w:firstLineChars="199"/>
        <w:textAlignment w:val="auto"/>
        <w:rPr>
          <w:rFonts w:hint="default"/>
          <w:lang w:val="en-US" w:eastAsia="zh-CN"/>
        </w:rPr>
      </w:pPr>
      <w:r>
        <w:rPr>
          <w:rFonts w:ascii="仿宋" w:eastAsia="仿宋" w:hAnsi="仿宋" w:cs="仿宋" w:hint="eastAsia"/>
          <w:b/>
          <w:bCs/>
          <w:kern w:val="2"/>
          <w:sz w:val="32"/>
          <w:szCs w:val="32"/>
          <w:lang w:val="en-US" w:eastAsia="zh-CN" w:bidi="ar-SA"/>
        </w:rPr>
        <w:t>3、健全和完善信息公开制度。</w:t>
      </w:r>
      <w:r>
        <w:rPr>
          <w:rFonts w:ascii="仿宋" w:eastAsia="仿宋" w:hAnsi="仿宋" w:cs="仿宋" w:hint="eastAsia"/>
          <w:sz w:val="32"/>
          <w:szCs w:val="32"/>
          <w:lang w:val="en-US" w:eastAsia="zh-CN"/>
        </w:rPr>
        <w:t>增设公开栏目，畅通依申请公开渠道，拓展网站信息服务功能，切实提升统计工作服务群众、服务决策、服务发展的能力。</w:t>
      </w:r>
    </w:p>
    <w:p>
      <w:pPr>
        <w:keepNext w:val="0"/>
        <w:keepLines w:val="0"/>
        <w:pageBreakBefore w:val="0"/>
        <w:widowControl w:val="0"/>
        <w:kinsoku/>
        <w:wordWrap/>
        <w:overflowPunct/>
        <w:topLinePunct w:val="0"/>
        <w:autoSpaceDE/>
        <w:autoSpaceDN/>
        <w:bidi w:val="0"/>
        <w:adjustRightInd/>
        <w:snapToGrid/>
        <w:spacing w:line="560" w:lineRule="exact"/>
        <w:ind w:firstLine="637" w:firstLineChars="199"/>
        <w:textAlignment w:val="auto"/>
        <w:rPr>
          <w:rFonts w:ascii="Times New Roman" w:eastAsia="黑体" w:hAnsi="Times New Roman" w:cs="宋体"/>
          <w:sz w:val="32"/>
          <w:szCs w:val="32"/>
        </w:rPr>
      </w:pPr>
      <w:r>
        <w:rPr>
          <w:rFonts w:ascii="Times New Roman" w:eastAsia="黑体" w:hAnsi="Times New Roman" w:cs="宋体" w:hint="eastAsia"/>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宋体" w:hint="eastAsia"/>
          <w:sz w:val="32"/>
          <w:szCs w:val="32"/>
          <w:lang w:val="en-US" w:eastAsia="zh-CN"/>
        </w:rPr>
      </w:pPr>
      <w:r>
        <w:rPr>
          <w:rFonts w:ascii="Times New Roman" w:eastAsia="仿宋_GB2312" w:hAnsi="Times New Roman" w:cs="宋体" w:hint="eastAsia"/>
          <w:sz w:val="32"/>
          <w:szCs w:val="32"/>
          <w:lang w:val="en-US" w:eastAsia="zh-CN"/>
        </w:rPr>
        <w:t>无其他需要报告的事项。</w:t>
      </w:r>
    </w:p>
    <w:p>
      <w:pPr>
        <w:pStyle w:val="BodyTextIndent2"/>
        <w:rPr>
          <w:rFonts w:ascii="Times New Roman" w:eastAsia="仿宋_GB2312" w:hAnsi="Times New Roman" w:cs="宋体" w:hint="eastAsia"/>
          <w:sz w:val="32"/>
          <w:szCs w:val="32"/>
          <w:lang w:val="en-US" w:eastAsia="zh-CN"/>
        </w:rPr>
      </w:pPr>
    </w:p>
    <w:p>
      <w:pPr>
        <w:rPr>
          <w:rFonts w:ascii="Times New Roman" w:eastAsia="仿宋_GB2312" w:hAnsi="Times New Roman" w:cs="宋体" w:hint="eastAsia"/>
          <w:sz w:val="32"/>
          <w:szCs w:val="32"/>
          <w:lang w:val="en-US" w:eastAsia="zh-CN"/>
        </w:rPr>
      </w:pPr>
    </w:p>
    <w:p>
      <w:pPr>
        <w:rPr>
          <w:rFonts w:ascii="Times New Roman" w:eastAsia="仿宋_GB2312" w:hAnsi="Times New Roman" w:cs="宋体" w:hint="eastAsia"/>
          <w:sz w:val="32"/>
          <w:szCs w:val="32"/>
          <w:lang w:val="en-US" w:eastAsia="zh-CN"/>
        </w:rPr>
      </w:pPr>
    </w:p>
    <w:p>
      <w:pPr>
        <w:pStyle w:val="BodyTextIndent2"/>
        <w:ind w:firstLine="5120" w:firstLineChars="1600"/>
        <w:rPr>
          <w:rFonts w:ascii="Times New Roman" w:eastAsia="仿宋_GB2312" w:hAnsi="Times New Roman" w:cs="宋体" w:hint="eastAsia"/>
          <w:sz w:val="32"/>
          <w:szCs w:val="32"/>
          <w:lang w:val="en-US" w:eastAsia="zh-CN"/>
        </w:rPr>
      </w:pPr>
      <w:r>
        <w:rPr>
          <w:rFonts w:ascii="Times New Roman" w:eastAsia="仿宋_GB2312" w:hAnsi="Times New Roman" w:cs="宋体" w:hint="eastAsia"/>
          <w:sz w:val="32"/>
          <w:szCs w:val="32"/>
          <w:lang w:val="en-US" w:eastAsia="zh-CN"/>
        </w:rPr>
        <w:t>乌苏市水利局</w:t>
      </w:r>
    </w:p>
    <w:p>
      <w:pPr>
        <w:ind w:firstLine="5440" w:firstLineChars="1700"/>
        <w:rPr>
          <w:rFonts w:hint="default"/>
          <w:lang w:val="en-US" w:eastAsia="zh-CN"/>
        </w:rPr>
      </w:pPr>
      <w:r>
        <w:rPr>
          <w:rFonts w:ascii="Times New Roman" w:eastAsia="仿宋_GB2312" w:hAnsi="Times New Roman" w:cs="宋体" w:hint="eastAsia"/>
          <w:sz w:val="32"/>
          <w:szCs w:val="32"/>
          <w:lang w:val="en-US" w:eastAsia="zh-CN"/>
        </w:rPr>
        <w:t>2022年1月16日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9F415A"/>
    <w:rsid w:val="033135F2"/>
    <w:rsid w:val="0355777D"/>
    <w:rsid w:val="041E637C"/>
    <w:rsid w:val="04783CF4"/>
    <w:rsid w:val="08552333"/>
    <w:rsid w:val="089965D2"/>
    <w:rsid w:val="0CFE36CF"/>
    <w:rsid w:val="0F8E6C66"/>
    <w:rsid w:val="11BA16E1"/>
    <w:rsid w:val="13BB7CEF"/>
    <w:rsid w:val="1574304C"/>
    <w:rsid w:val="167F1205"/>
    <w:rsid w:val="18960ADE"/>
    <w:rsid w:val="1DC269DC"/>
    <w:rsid w:val="1F0819AA"/>
    <w:rsid w:val="20C00011"/>
    <w:rsid w:val="22822433"/>
    <w:rsid w:val="239F415A"/>
    <w:rsid w:val="28171BA1"/>
    <w:rsid w:val="28276DA9"/>
    <w:rsid w:val="2871147D"/>
    <w:rsid w:val="2C7E15D2"/>
    <w:rsid w:val="2DF519B3"/>
    <w:rsid w:val="2E4009E6"/>
    <w:rsid w:val="2F357813"/>
    <w:rsid w:val="326543BB"/>
    <w:rsid w:val="333C2427"/>
    <w:rsid w:val="37215721"/>
    <w:rsid w:val="382473DA"/>
    <w:rsid w:val="38C8043E"/>
    <w:rsid w:val="39B31D09"/>
    <w:rsid w:val="40261D72"/>
    <w:rsid w:val="40FC1953"/>
    <w:rsid w:val="41F347C5"/>
    <w:rsid w:val="4365787F"/>
    <w:rsid w:val="445E4FE7"/>
    <w:rsid w:val="44BF3E76"/>
    <w:rsid w:val="45486092"/>
    <w:rsid w:val="4E3A540A"/>
    <w:rsid w:val="4E547BAC"/>
    <w:rsid w:val="505F5F6C"/>
    <w:rsid w:val="51AE6179"/>
    <w:rsid w:val="52267E30"/>
    <w:rsid w:val="53E60F23"/>
    <w:rsid w:val="547B5085"/>
    <w:rsid w:val="5B4335C8"/>
    <w:rsid w:val="5C6716EB"/>
    <w:rsid w:val="5C860233"/>
    <w:rsid w:val="5D752958"/>
    <w:rsid w:val="5F5A1BDE"/>
    <w:rsid w:val="600A4BA6"/>
    <w:rsid w:val="66CF49BA"/>
    <w:rsid w:val="6792371C"/>
    <w:rsid w:val="68C263DD"/>
    <w:rsid w:val="6BC63B2E"/>
    <w:rsid w:val="6CAD29DB"/>
    <w:rsid w:val="706D08CF"/>
    <w:rsid w:val="72836B63"/>
    <w:rsid w:val="762C0180"/>
    <w:rsid w:val="765F3ABA"/>
    <w:rsid w:val="78723114"/>
    <w:rsid w:val="78AC614C"/>
    <w:rsid w:val="7D4C4896"/>
    <w:rsid w:val="7F10687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Calibri" w:eastAsia="宋体" w:hAnsi="Calibri" w:cs="Times New Roman"/>
      <w:kern w:val="2"/>
      <w:sz w:val="21"/>
      <w:szCs w:val="24"/>
      <w:lang w:val="en-US" w:eastAsia="zh-CN" w:bidi="ar-SA"/>
    </w:rPr>
  </w:style>
  <w:style w:type="paragraph" w:styleId="Heading3">
    <w:name w:val="heading 3"/>
    <w:basedOn w:val="Normal"/>
    <w:next w:val="Normal"/>
    <w:qFormat/>
    <w:pPr>
      <w:keepNext/>
      <w:keepLines/>
      <w:ind w:firstLine="200" w:firstLineChars="200"/>
      <w:outlineLvl w:val="2"/>
    </w:pPr>
    <w:rPr>
      <w:rFonts w:ascii="仿宋" w:eastAsia="仿宋" w:hAnsi="Times New Roman" w:cs="宋体"/>
      <w:color w:val="FF0000"/>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Indent2">
    <w:name w:val="Body Text Indent 2"/>
    <w:basedOn w:val="Normal"/>
    <w:next w:val="Normal"/>
    <w:qFormat/>
    <w:pPr>
      <w:spacing w:before="100" w:beforeAutospacing="1" w:line="480" w:lineRule="auto"/>
      <w:ind w:left="420" w:leftChars="200"/>
    </w:p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qFormat/>
    <w:rPr>
      <w:color w:val="800080"/>
      <w:u w:val="none"/>
    </w:rPr>
  </w:style>
  <w:style w:type="character" w:styleId="Emphasis">
    <w:name w:val="Emphasis"/>
    <w:basedOn w:val="DefaultParagraphFont"/>
    <w:qFormat/>
    <w:rPr>
      <w:i/>
    </w:rPr>
  </w:style>
  <w:style w:type="character" w:styleId="Hyperlink">
    <w:name w:val="Hyperlink"/>
    <w:basedOn w:val="DefaultParagraphFont"/>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zhangzudong</cp:lastModifiedBy>
  <cp:revision>1</cp:revision>
  <cp:lastPrinted>2021-02-03T10:48:00Z</cp:lastPrinted>
  <dcterms:created xsi:type="dcterms:W3CDTF">2021-02-01T08:11:00Z</dcterms:created>
  <dcterms:modified xsi:type="dcterms:W3CDTF">2022-01-20T03:13:29Z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7E1FCA857C534E1FA3E346A15B9E2CB1</vt:lpwstr>
  </property>
  <property fmtid="{D5CDD505-2E9C-101B-9397-08002B2CF9AE}" pid="3" name="KSOProductBuildVer">
    <vt:lpwstr>2052-11.1.0.11194</vt:lpwstr>
  </property>
</Properties>
</file>