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乌苏市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统计局2021年政府信息公开工作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根据《中华人民共和国政府信息公开条例》（以下简称《条例》）第五十条规定，全面总结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政府信息公开工作情况，现编制本年度报告。报告全文由总体情况、主动公开政府信息情况、收到和处理政府信息公开申请情况、因政府信息公开工作被申请行政复议和提起行政诉讼情况、存在的主要问题及改进情况、其他需要报告的事项等六部分组成。本报告所列数据统计期限自202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年1月1日至2021年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日。如对本报告有疑问，可与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统计局联系（地址：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大楼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楼，邮编：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833000，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0992-8505585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2021年度，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乌苏市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统计局认真贯彻落实《中华人民共和国政府信息公开条例》的各项要求，紧紧围绕县域经济社会高质量发展工作，积极稳妥做好信息公开工作，确保了信息公开工作有序、高效运转。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（一）领导重视，工作机制完善。局领导高度重视政务信息公开工作，亲自部署、亲自落实，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指定专人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负责落实此项工作。2021年我局设有信息公开负责人一名，分管领导一名。我局信息公开渠道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与载体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市政府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纸质媒介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截至2021年12月31日，2021年我局政府信息公开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条，统计公报1条。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高质量，政务公开透明。局党组坚持依法公开、真实公正、突出重点、注重实效的原则，不断完善工作机制，提高信息公开数据质量，加强政务公开的透明性，常规发布稳步推进，工作动态实时更新。及时公开财政预决算。我局继续加大财政预算、决算经费等的公开透明度。并且在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市政府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网站上公开了相关的表格及说明。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（三）完善形式，增加公开内容。我局坚持“公开为常态，不公开为例外”的原则，对主要经济数据和依申请公开事项对外进行发布，努力做到社会需要什么，就公开什么，及时对外发布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国民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展统计</w:t>
      </w:r>
      <w:r>
        <w:rPr>
          <w:rFonts w:ascii="仿宋_GB2312" w:eastAsia="仿宋_GB2312" w:hAnsi="仿宋_GB2312" w:cs="仿宋_GB2312" w:hint="eastAsia"/>
          <w:sz w:val="32"/>
          <w:szCs w:val="32"/>
        </w:rPr>
        <w:t>公报，对不属于我局管辖范围的内容及时告知申请人联系部门方式，以优质高效的统计数据服务做好信息公开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）公开制度建设和落实情况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我局继续加强信息公开工作这方面的指导和监督检查工作，严格执行信息发布管理制度和各项保密规定，规范工作流程，严把统计信息质量关。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 w:hAnsi="黑体" w:cs="黑体" w:hint="eastAsia"/>
          <w:b w:val="0"/>
          <w:i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TableNormal"/>
        <w:tblW w:w="8322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45"/>
        <w:gridCol w:w="2246"/>
        <w:gridCol w:w="2246"/>
        <w:gridCol w:w="1585"/>
      </w:tblGrid>
      <w:tr>
        <w:tblPrEx>
          <w:tblW w:w="8322" w:type="dxa"/>
          <w:tblInd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第二十条第（一）项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信息内容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本年制发件数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本年废止件数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现行有效件数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规章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行政规范性文件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2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第二十条第（五）项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信息内容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本年处理决定数量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行政许可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第二十条第（六）项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信息内容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本年处理决定数量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行政处罚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行政强制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2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第二十条第（八）项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信息内容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行政事业性收费</w:t>
            </w:r>
          </w:p>
        </w:tc>
        <w:tc>
          <w:tcPr>
            <w:tcW w:w="60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beforeAutospacing="0" w:after="150" w:afterAutospacing="0" w:line="23" w:lineRule="atLeast"/>
        <w:ind w:left="0" w:right="0" w:firstLine="420"/>
        <w:jc w:val="both"/>
        <w:rPr>
          <w:rFonts w:ascii="黑体" w:eastAsia="黑体" w:hAnsi="黑体" w:cs="黑体" w:hint="eastAsia"/>
          <w:b w:val="0"/>
          <w:i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TableNormal"/>
        <w:tblW w:w="8322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2"/>
        <w:gridCol w:w="1025"/>
        <w:gridCol w:w="2466"/>
        <w:gridCol w:w="596"/>
        <w:gridCol w:w="596"/>
        <w:gridCol w:w="596"/>
        <w:gridCol w:w="596"/>
        <w:gridCol w:w="596"/>
        <w:gridCol w:w="628"/>
        <w:gridCol w:w="441"/>
      </w:tblGrid>
      <w:tr>
        <w:tblPrEx>
          <w:tblW w:w="8322" w:type="dxa"/>
          <w:tblInd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049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申请人情况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自然人</w:t>
            </w:r>
          </w:p>
        </w:tc>
        <w:tc>
          <w:tcPr>
            <w:tcW w:w="301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法人或其他组织</w:t>
            </w:r>
          </w:p>
        </w:tc>
        <w:tc>
          <w:tcPr>
            <w:tcW w:w="4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总计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商业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企业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科研</w:t>
            </w:r>
          </w:p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机构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社会公益组织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法律服务机构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其他</w:t>
            </w:r>
          </w:p>
        </w:tc>
        <w:tc>
          <w:tcPr>
            <w:tcW w:w="4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三、本年度办理结果</w:t>
            </w:r>
          </w:p>
        </w:tc>
        <w:tc>
          <w:tcPr>
            <w:tcW w:w="34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（一）予以公开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（三）不予公开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1.属于国家秘密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3.危及“三安全一稳定”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4.保护第三方合法权益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5.属于三类内部事务信息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6.属于四类过程性信息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7.属于行政执法案卷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8.属于行政查询事项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（四）无法提供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（五）不予处理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1.信访举报投诉类申请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2.重复申请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3.要求提供公开出版物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9"/>
        </w:trPr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（六）其他处理</w:t>
            </w: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3.其他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（七）总计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27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both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四、结转下年度继续办理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</w:tbl>
    <w:p>
      <w:pPr>
        <w:pStyle w:val="NormalWeb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beforeAutospacing="0" w:after="150" w:afterAutospacing="0" w:line="23" w:lineRule="atLeast"/>
        <w:ind w:left="0" w:right="0" w:firstLine="420"/>
        <w:jc w:val="both"/>
        <w:rPr>
          <w:rFonts w:ascii="黑体" w:eastAsia="黑体" w:hAnsi="黑体" w:cs="黑体" w:hint="eastAsia"/>
          <w:b w:val="0"/>
          <w:i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TableNormal"/>
        <w:tblW w:w="8322" w:type="dxa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58"/>
        <w:gridCol w:w="558"/>
        <w:gridCol w:w="558"/>
        <w:gridCol w:w="558"/>
        <w:gridCol w:w="574"/>
        <w:gridCol w:w="558"/>
        <w:gridCol w:w="558"/>
        <w:gridCol w:w="558"/>
        <w:gridCol w:w="558"/>
        <w:gridCol w:w="574"/>
        <w:gridCol w:w="558"/>
        <w:gridCol w:w="558"/>
        <w:gridCol w:w="559"/>
        <w:gridCol w:w="559"/>
        <w:gridCol w:w="476"/>
      </w:tblGrid>
      <w:tr>
        <w:tblPrEx>
          <w:tblW w:w="8322" w:type="dxa"/>
          <w:tblInd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行政复议</w:t>
            </w:r>
          </w:p>
        </w:tc>
        <w:tc>
          <w:tcPr>
            <w:tcW w:w="551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行政诉讼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结果维持</w:t>
            </w:r>
          </w:p>
        </w:tc>
        <w:tc>
          <w:tcPr>
            <w:tcW w:w="5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纠正</w:t>
            </w:r>
          </w:p>
        </w:tc>
        <w:tc>
          <w:tcPr>
            <w:tcW w:w="5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其他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</w:tc>
        <w:tc>
          <w:tcPr>
            <w:tcW w:w="5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尚未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总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计</w:t>
            </w:r>
          </w:p>
        </w:tc>
        <w:tc>
          <w:tcPr>
            <w:tcW w:w="280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未经复议直接起诉</w:t>
            </w:r>
          </w:p>
        </w:tc>
        <w:tc>
          <w:tcPr>
            <w:tcW w:w="271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复议后起诉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75"/>
        </w:trPr>
        <w:tc>
          <w:tcPr>
            <w:tcW w:w="5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维持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纠正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其他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尚未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审结</w:t>
            </w:r>
          </w:p>
        </w:tc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总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计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维持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纠正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其他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结果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尚未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审结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60" w:lineRule="exact"/>
              <w:ind w:left="0" w:right="0"/>
              <w:jc w:val="center"/>
              <w:textAlignment w:val="auto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总计</w:t>
            </w:r>
          </w:p>
        </w:tc>
      </w:tr>
      <w:tr>
        <w:tblPrEx>
          <w:tblW w:w="8322" w:type="dxa"/>
          <w:tblInd w:w="0" w:type="dxa"/>
          <w:shd w:val="clear" w:color="auto" w:fill="auto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Web"/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 w:val="0"/>
              <w:spacing w:before="0" w:beforeAutospacing="0" w:after="150" w:afterAutospacing="0" w:line="23" w:lineRule="atLeast"/>
              <w:ind w:left="0" w:right="0"/>
              <w:jc w:val="center"/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i w:val="0"/>
                <w:sz w:val="24"/>
                <w:szCs w:val="24"/>
              </w:rPr>
              <w:t>0</w:t>
            </w:r>
          </w:p>
        </w:tc>
      </w:tr>
    </w:tbl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textAlignment w:val="auto"/>
        <w:rPr>
          <w:rFonts w:ascii="黑体" w:eastAsia="黑体" w:hAnsi="黑体" w:cs="黑体" w:hint="eastAsia"/>
          <w:color w:val="2B2B2B"/>
          <w:sz w:val="32"/>
          <w:szCs w:val="32"/>
        </w:rPr>
      </w:pPr>
      <w:r>
        <w:rPr>
          <w:rStyle w:val="Strong"/>
          <w:rFonts w:ascii="黑体" w:eastAsia="黑体" w:hAnsi="黑体" w:cs="黑体" w:hint="eastAsia"/>
          <w:i w:val="0"/>
          <w:caps w:val="0"/>
          <w:color w:val="2B2B2B"/>
          <w:spacing w:val="0"/>
          <w:sz w:val="32"/>
          <w:szCs w:val="32"/>
        </w:rPr>
        <w:t>五、存在的主要问题及改进情况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textAlignment w:val="auto"/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  <w:t>2021年，全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  <w:lang w:eastAsia="zh-CN"/>
        </w:rPr>
        <w:t>市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  <w:t>统计信息公开工作取得一定成效，但还存在一些薄弱环节。存在问题：信息公开专栏信息量不足，内容缺乏亮点。</w:t>
      </w:r>
    </w:p>
    <w:p>
      <w:pPr>
        <w:pStyle w:val="NormalWeb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textAlignment w:val="auto"/>
        <w:rPr>
          <w:rFonts w:ascii="仿宋_GB2312" w:eastAsia="仿宋_GB2312" w:hAnsi="仿宋_GB2312" w:cs="仿宋_GB2312" w:hint="eastAsia"/>
          <w:color w:val="2B2B2B"/>
          <w:sz w:val="32"/>
          <w:szCs w:val="32"/>
        </w:rPr>
      </w:pP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  <w:t>改进措施：一是高度重视，提高信息质量。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  <w:lang w:eastAsia="zh-CN"/>
        </w:rPr>
        <w:t>全局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  <w:t>要提高对信息公开的认识，加强学习，不断提高信息质量，扩大信息公开范围。二是加强学习,优化人员力量。积极参加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  <w:lang w:eastAsia="zh-CN"/>
        </w:rPr>
        <w:t>市</w:t>
      </w:r>
      <w:r>
        <w:rPr>
          <w:rFonts w:ascii="仿宋_GB2312" w:eastAsia="仿宋_GB2312" w:hAnsi="仿宋_GB2312" w:cs="仿宋_GB2312" w:hint="eastAsia"/>
          <w:i w:val="0"/>
          <w:caps w:val="0"/>
          <w:color w:val="2B2B2B"/>
          <w:spacing w:val="0"/>
          <w:sz w:val="32"/>
          <w:szCs w:val="32"/>
        </w:rPr>
        <w:t>上组织的政府信息公开业务知识培训，配备专职人员，不断提高政府信息公开工作人员的综合素质。三是规范工作流程，建立健全制度。严格按照工作流程要求，建立健全政府信息公开工作的考核评估、监督检查评议等工作制度，确保政府信息公开工作顺利开展。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420"/>
        <w:textAlignment w:val="auto"/>
        <w:rPr>
          <w:rStyle w:val="Strong"/>
          <w:rFonts w:ascii="黑体" w:eastAsia="黑体" w:hAnsi="黑体" w:cs="黑体" w:hint="eastAsia"/>
          <w:i w:val="0"/>
          <w:caps w:val="0"/>
          <w:color w:val="2B2B2B"/>
          <w:spacing w:val="0"/>
          <w:sz w:val="32"/>
          <w:szCs w:val="32"/>
        </w:rPr>
      </w:pPr>
      <w:r>
        <w:rPr>
          <w:rStyle w:val="Strong"/>
          <w:rFonts w:ascii="黑体" w:eastAsia="黑体" w:hAnsi="黑体" w:cs="黑体" w:hint="eastAsia"/>
          <w:i w:val="0"/>
          <w:caps w:val="0"/>
          <w:color w:val="2B2B2B"/>
          <w:spacing w:val="0"/>
          <w:sz w:val="32"/>
          <w:szCs w:val="32"/>
        </w:rPr>
        <w:t>其他需要报告的事项</w:t>
      </w:r>
    </w:p>
    <w:p>
      <w:pPr>
        <w:pStyle w:val="NormalWeb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420" w:right="0" w:leftChars="0" w:rightChars="0"/>
        <w:textAlignment w:val="auto"/>
        <w:rPr>
          <w:rStyle w:val="Strong"/>
          <w:rFonts w:ascii="仿宋_GB2312" w:eastAsia="仿宋_GB2312" w:hAnsi="仿宋_GB2312" w:cs="仿宋_GB2312" w:hint="eastAsia"/>
          <w:b w:val="0"/>
          <w:bCs/>
          <w:i w:val="0"/>
          <w:caps w:val="0"/>
          <w:color w:val="2B2B2B"/>
          <w:spacing w:val="0"/>
          <w:sz w:val="32"/>
          <w:szCs w:val="32"/>
          <w:lang w:eastAsia="zh-CN"/>
        </w:rPr>
      </w:pPr>
      <w:r>
        <w:rPr>
          <w:rStyle w:val="Strong"/>
          <w:rFonts w:ascii="仿宋_GB2312" w:eastAsia="仿宋_GB2312" w:hAnsi="仿宋_GB2312" w:cs="仿宋_GB2312" w:hint="eastAsia"/>
          <w:b w:val="0"/>
          <w:bCs/>
          <w:i w:val="0"/>
          <w:caps w:val="0"/>
          <w:color w:val="2B2B2B"/>
          <w:spacing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DE73"/>
    <w:multiLevelType w:val="singleLevel"/>
    <w:tmpl w:val="06EADE7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F4977"/>
    <w:rsid w:val="0FAB10DE"/>
    <w:rsid w:val="128522A8"/>
    <w:rsid w:val="3CEF4977"/>
    <w:rsid w:val="44F42D26"/>
    <w:rsid w:val="70A9505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1</cp:revision>
  <cp:lastPrinted>2022-01-05T09:58:00Z</cp:lastPrinted>
  <dcterms:created xsi:type="dcterms:W3CDTF">2022-01-05T08:56:00Z</dcterms:created>
  <dcterms:modified xsi:type="dcterms:W3CDTF">2022-01-20T03:35:58Z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956DDE9E60624BF7B075BC79D7AADAC8</vt:lpwstr>
  </property>
  <property fmtid="{D5CDD505-2E9C-101B-9397-08002B2CF9AE}" pid="3" name="KSOProductBuildVer">
    <vt:lpwstr>2052-11.1.0.11194</vt:lpwstr>
  </property>
</Properties>
</file>