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lang w:val="en-US" w:eastAsia="zh-CN"/>
        </w:rPr>
      </w:pPr>
      <w:r>
        <w:rPr>
          <w:rFonts w:ascii="方正小标宋简体" w:eastAsia="方正小标宋简体" w:hAnsi="方正小标宋简体" w:cs="方正小标宋简体" w:hint="eastAsia"/>
          <w:sz w:val="44"/>
          <w:szCs w:val="44"/>
          <w:lang w:val="en-US" w:eastAsia="zh-CN"/>
        </w:rPr>
        <w:t>奎河街道2021年度政府信息公开工作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lang w:val="en-US" w:eastAsia="zh-CN"/>
        </w:rPr>
      </w:pPr>
      <w:r>
        <w:rPr>
          <w:rFonts w:ascii="方正小标宋简体" w:eastAsia="方正小标宋简体" w:hAnsi="方正小标宋简体" w:cs="方正小标宋简体" w:hint="eastAsia"/>
          <w:sz w:val="44"/>
          <w:szCs w:val="44"/>
          <w:lang w:val="en-US" w:eastAsia="zh-CN"/>
        </w:rPr>
        <w:t>年度报告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eastAsia"/>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宋体" w:eastAsia="宋体" w:hAnsi="宋体" w:cs="宋体" w:hint="eastAsia"/>
          <w:b/>
          <w:bCs/>
          <w:sz w:val="32"/>
          <w:szCs w:val="32"/>
          <w:lang w:val="en-US" w:eastAsia="zh-CN"/>
        </w:rPr>
      </w:pPr>
      <w:r>
        <w:rPr>
          <w:rFonts w:ascii="宋体" w:eastAsia="宋体" w:hAnsi="宋体" w:cs="宋体" w:hint="eastAsia"/>
          <w:b/>
          <w:bCs/>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根据《中华人民共和国政府</w:t>
      </w:r>
      <w:bookmarkStart w:id="0" w:name="_GoBack"/>
      <w:bookmarkEnd w:id="0"/>
      <w:r>
        <w:rPr>
          <w:rFonts w:ascii="仿宋_GB2312" w:eastAsia="仿宋_GB2312" w:hAnsi="仿宋_GB2312" w:cs="仿宋_GB2312" w:hint="eastAsia"/>
          <w:sz w:val="32"/>
          <w:szCs w:val="32"/>
          <w:lang w:val="en-US" w:eastAsia="zh-CN"/>
        </w:rPr>
        <w:t>信息公开条例》和上级有关文件要求，现向社会公布2021年奎河街道办事处政府信息公开年度报告。我街道在信息公开工作经费投入予以保障，充分运用政务公开栏、网站等各种渠道进行信息公开，确保群众及时了解政府信息动态，为群众办事提供便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楷体_GB2312" w:eastAsia="楷体_GB2312" w:hAnsi="楷体_GB2312" w:cs="楷体_GB2312" w:hint="eastAsia"/>
          <w:sz w:val="32"/>
          <w:szCs w:val="32"/>
          <w:lang w:val="en-US" w:eastAsia="zh-CN"/>
        </w:rPr>
      </w:pPr>
      <w:r>
        <w:rPr>
          <w:rFonts w:ascii="楷体_GB2312" w:eastAsia="楷体_GB2312" w:hAnsi="楷体_GB2312" w:cs="楷体_GB2312" w:hint="eastAsia"/>
          <w:sz w:val="32"/>
          <w:szCs w:val="32"/>
          <w:lang w:val="en-US" w:eastAsia="zh-CN"/>
        </w:rPr>
        <w:t>（一）2021年政府信息公开工作要点落实情况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我街道紧紧围绕市委、市政府决策部署和2021年奎河街道经济发展目标，及时将落实措施及执行情况向社会公开。重点公开涉及群众切身利益、需要群众广泛知晓得事项以及法律法规规定需要公开的其他事项。。同时加强对党务、政务、社务公开的指导。把公开透明的要求贯穿于政务服务各个环节，以公开促进政务服务水平的提高，创造条件保障人民群众更好的了解和监督办事处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ascii="楷体_GB2312" w:eastAsia="楷体_GB2312" w:hAnsi="楷体_GB2312" w:cs="楷体_GB2312" w:hint="eastAsia"/>
          <w:sz w:val="32"/>
          <w:szCs w:val="32"/>
          <w:lang w:val="en-US" w:eastAsia="zh-CN"/>
        </w:rPr>
      </w:pPr>
      <w:r>
        <w:rPr>
          <w:rFonts w:ascii="楷体_GB2312" w:eastAsia="楷体_GB2312" w:hAnsi="楷体_GB2312" w:cs="楷体_GB2312" w:hint="eastAsia"/>
          <w:sz w:val="32"/>
          <w:szCs w:val="32"/>
          <w:lang w:val="en-US" w:eastAsia="zh-CN"/>
        </w:rPr>
        <w:t>加强组织领导，完善机构人员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为全面加强对政府信息公开工作的领导，党工委研究成立了以分管领导为组长，党政办、综合协调办、民政、社保、退役军人事务等内设机构负责人为成员的政府信息公开工作领导小组。领导小组下设办公室，办公室设在党政办，负责辖区政府信息公开的日常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leftChars="0" w:firstLineChars="200"/>
        <w:jc w:val="left"/>
        <w:textAlignment w:val="auto"/>
        <w:rPr>
          <w:rFonts w:ascii="楷体_GB2312" w:eastAsia="楷体_GB2312" w:hAnsi="楷体_GB2312" w:cs="楷体_GB2312" w:hint="eastAsia"/>
          <w:sz w:val="32"/>
          <w:szCs w:val="32"/>
          <w:lang w:val="en-US" w:eastAsia="zh-CN"/>
        </w:rPr>
      </w:pPr>
      <w:r>
        <w:rPr>
          <w:rFonts w:ascii="楷体_GB2312" w:eastAsia="楷体_GB2312" w:hAnsi="楷体_GB2312" w:cs="楷体_GB2312" w:hint="eastAsia"/>
          <w:sz w:val="32"/>
          <w:szCs w:val="32"/>
          <w:lang w:val="en-US" w:eastAsia="zh-CN"/>
        </w:rPr>
        <w:t>加强宣传培训，精心组织实施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为推进政府信息公开工作的顺利进行，认真做好政府信息公开的各项工作，我街道积极参加上级行政机关组织的各项业务学习并将《政府信息公开条例》列入干部理论学习计划，使机关干部深刻领会《条例》实施的重大意义。同时，加大对《条例》的宣传力度，营造良好的舆论氛围，为条例的实施打牢基础。我街道高度重视政府信息公开工作，为了方便群众办事、利于社会监督，我们专门安排人员将政府信息及时发布，受理网上投诉，受到群众广泛好评。</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32"/>
          <w:szCs w:val="32"/>
        </w:rPr>
      </w:pPr>
      <w:r>
        <w:rPr>
          <w:rFonts w:ascii="宋体" w:eastAsia="宋体" w:hAnsi="宋体" w:cs="宋体" w:hint="eastAsia"/>
          <w:b/>
          <w:bCs/>
          <w:i w:val="0"/>
          <w:iCs w:val="0"/>
          <w:caps w:val="0"/>
          <w:color w:val="auto"/>
          <w:spacing w:val="0"/>
          <w:sz w:val="32"/>
          <w:szCs w:val="32"/>
          <w:shd w:val="clear" w:color="auto" w:fill="FFFFFF"/>
        </w:rPr>
        <w:t>二、主动公开政府信息情况</w:t>
      </w:r>
    </w:p>
    <w:tbl>
      <w:tblPr>
        <w:tblStyle w:val="TableNormal"/>
        <w:tblpPr w:leftFromText="180" w:rightFromText="180" w:vertAnchor="text" w:horzAnchor="page" w:tblpX="1139" w:tblpY="119"/>
        <w:tblOverlap w:val="never"/>
        <w:tblW w:w="97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435"/>
        <w:gridCol w:w="2435"/>
        <w:gridCol w:w="2435"/>
        <w:gridCol w:w="2435"/>
      </w:tblGrid>
      <w:tr>
        <w:tblPrEx>
          <w:tblW w:w="97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40"/>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第二十条第（一）项</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本年制发件数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本年废止件数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现行有效件数</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规章</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Calibri" w:eastAsia="宋体" w:hAnsi="Calibri" w:cs="Calibri"/>
                <w:color w:val="auto"/>
                <w:kern w:val="0"/>
                <w:sz w:val="21"/>
                <w:szCs w:val="21"/>
                <w:lang w:val="en-US" w:eastAsia="zh-CN" w:bidi="ar"/>
              </w:rPr>
              <w:t> </w:t>
            </w:r>
            <w:r>
              <w:rPr>
                <w:rFonts w:ascii="Calibri" w:eastAsia="宋体" w:hAnsi="Calibri" w:cs="Calibri" w:hint="eastAsia"/>
                <w:color w:val="auto"/>
                <w:kern w:val="0"/>
                <w:sz w:val="21"/>
                <w:szCs w:val="21"/>
                <w:lang w:val="en-US" w:eastAsia="zh-CN" w:bidi="ar"/>
              </w:rPr>
              <w:t>0</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行政规范性文件</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Calibri" w:eastAsia="宋体" w:hAnsi="Calibri" w:cs="Calibri" w:hint="default"/>
                <w:color w:val="auto"/>
                <w:kern w:val="0"/>
                <w:sz w:val="21"/>
                <w:szCs w:val="21"/>
                <w:lang w:val="en-US" w:eastAsia="zh-CN" w:bidi="ar"/>
              </w:rPr>
              <w:t> </w:t>
            </w:r>
            <w:r>
              <w:rPr>
                <w:rFonts w:ascii="Calibri" w:eastAsia="宋体" w:hAnsi="Calibri" w:cs="Calibri" w:hint="eastAsia"/>
                <w:color w:val="auto"/>
                <w:kern w:val="0"/>
                <w:sz w:val="21"/>
                <w:szCs w:val="21"/>
                <w:lang w:val="en-US" w:eastAsia="zh-CN" w:bidi="ar"/>
              </w:rPr>
              <w:t>0</w:t>
            </w:r>
          </w:p>
        </w:tc>
      </w:tr>
      <w:tr>
        <w:tblPrEx>
          <w:tblW w:w="9740" w:type="dxa"/>
          <w:tblInd w:w="0" w:type="dxa"/>
          <w:tblLayout w:type="fixed"/>
          <w:tblCellMar>
            <w:top w:w="0" w:type="dxa"/>
            <w:left w:w="0" w:type="dxa"/>
            <w:bottom w:w="0" w:type="dxa"/>
            <w:right w:w="0" w:type="dxa"/>
          </w:tblCellMar>
        </w:tblPrEx>
        <w:trPr>
          <w:trHeight w:val="340"/>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第二十条第（五）项</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行政许可</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Calibri" w:eastAsia="宋体" w:hAnsi="Calibri" w:cs="Calibri" w:hint="default"/>
                <w:color w:val="auto"/>
                <w:kern w:val="0"/>
                <w:sz w:val="21"/>
                <w:szCs w:val="21"/>
                <w:lang w:val="en-US" w:eastAsia="zh-CN" w:bidi="ar"/>
              </w:rPr>
              <w:t> </w:t>
            </w:r>
            <w:r>
              <w:rPr>
                <w:rFonts w:ascii="Calibri" w:eastAsia="宋体" w:hAnsi="Calibri" w:cs="Calibri" w:hint="eastAsia"/>
                <w:color w:val="auto"/>
                <w:kern w:val="0"/>
                <w:sz w:val="21"/>
                <w:szCs w:val="21"/>
                <w:lang w:val="en-US" w:eastAsia="zh-CN" w:bidi="ar"/>
              </w:rPr>
              <w:t>0</w:t>
            </w:r>
          </w:p>
        </w:tc>
      </w:tr>
      <w:tr>
        <w:tblPrEx>
          <w:tblW w:w="9740" w:type="dxa"/>
          <w:tblInd w:w="0" w:type="dxa"/>
          <w:tblLayout w:type="fixed"/>
          <w:tblCellMar>
            <w:top w:w="0" w:type="dxa"/>
            <w:left w:w="0" w:type="dxa"/>
            <w:bottom w:w="0" w:type="dxa"/>
            <w:right w:w="0" w:type="dxa"/>
          </w:tblCellMar>
        </w:tblPrEx>
        <w:trPr>
          <w:trHeight w:val="340"/>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第二十条第（六）项</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行政处罚</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行政强制</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r>
      <w:tr>
        <w:tblPrEx>
          <w:tblW w:w="9740" w:type="dxa"/>
          <w:tblInd w:w="0" w:type="dxa"/>
          <w:tblLayout w:type="fixed"/>
          <w:tblCellMar>
            <w:top w:w="0" w:type="dxa"/>
            <w:left w:w="0" w:type="dxa"/>
            <w:bottom w:w="0" w:type="dxa"/>
            <w:right w:w="0" w:type="dxa"/>
          </w:tblCellMar>
        </w:tblPrEx>
        <w:trPr>
          <w:trHeight w:val="340"/>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第二十条第（八）项</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本年收费金额（单位：万元）</w:t>
            </w:r>
          </w:p>
        </w:tc>
      </w:tr>
      <w:tr>
        <w:tblPrEx>
          <w:tblW w:w="9740" w:type="dxa"/>
          <w:tblInd w:w="0" w:type="dxa"/>
          <w:tblLayout w:type="fixed"/>
          <w:tblCellMar>
            <w:top w:w="0" w:type="dxa"/>
            <w:left w:w="0" w:type="dxa"/>
            <w:bottom w:w="0" w:type="dxa"/>
            <w:right w:w="0" w:type="dxa"/>
          </w:tblCellMar>
        </w:tblPrEx>
        <w:trPr>
          <w:trHeight w:val="340"/>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行政事业性收费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eastAsiaTheme="minorEastAsia" w:hint="default"/>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32"/>
          <w:szCs w:val="32"/>
        </w:rPr>
      </w:pPr>
      <w:r>
        <w:rPr>
          <w:rFonts w:ascii="宋体" w:eastAsia="宋体" w:hAnsi="宋体" w:cs="宋体" w:hint="eastAsia"/>
          <w:b/>
          <w:bCs/>
          <w:i w:val="0"/>
          <w:iCs w:val="0"/>
          <w:caps w:val="0"/>
          <w:color w:val="auto"/>
          <w:spacing w:val="0"/>
          <w:sz w:val="32"/>
          <w:szCs w:val="32"/>
          <w:shd w:val="clear" w:color="auto" w:fill="FFFFFF"/>
        </w:rPr>
        <w:t>三、收到和处理政府信息公开申请情况</w:t>
      </w:r>
    </w:p>
    <w:tbl>
      <w:tblPr>
        <w:tblStyle w:val="TableNormal"/>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楷体" w:eastAsia="楷体" w:hAnsi="楷体" w:cs="楷体" w:hint="eastAsia"/>
                <w:color w:val="auto"/>
                <w:kern w:val="0"/>
                <w:sz w:val="20"/>
                <w:szCs w:val="20"/>
                <w:lang w:val="en-US" w:eastAsia="zh-CN"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申请人情况</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val="restart"/>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自然人</w:t>
            </w:r>
          </w:p>
        </w:tc>
        <w:tc>
          <w:tcPr>
            <w:tcW w:w="3440" w:type="dxa"/>
            <w:gridSpan w:val="5"/>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法人或其他组织</w:t>
            </w:r>
          </w:p>
        </w:tc>
        <w:tc>
          <w:tcPr>
            <w:tcW w:w="689" w:type="dxa"/>
            <w:vMerge w:val="restart"/>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商业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企业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科研</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社会公益组织</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法律服务机构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其他</w:t>
            </w:r>
          </w:p>
        </w:tc>
        <w:tc>
          <w:tcPr>
            <w:tcW w:w="689" w:type="dxa"/>
            <w:vMerge/>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一、本年新收政府信息公开申请数量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二、上年结转政府信息公开申请数量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val="restart"/>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三、本年度办理结果</w:t>
            </w: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（一）予以公开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（二）部分公开</w:t>
            </w:r>
            <w:r>
              <w:rPr>
                <w:rFonts w:ascii="楷体" w:eastAsia="楷体" w:hAnsi="楷体" w:cs="楷体" w:hint="eastAsia"/>
                <w:color w:val="auto"/>
                <w:kern w:val="0"/>
                <w:sz w:val="20"/>
                <w:szCs w:val="20"/>
                <w:lang w:val="en-US" w:eastAsia="zh-CN" w:bidi="ar"/>
              </w:rPr>
              <w:t>（区分处理的，只计这一情形，不计其他情形）</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（三）不予公开</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1.属于国家秘密</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2.其他法律行政法规禁止公开</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3.危及“三安全一稳定”</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4.保护第三方合法权益</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5.属于三类内部事务信息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6.属于四类过程性信息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7.属于行政执法案卷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8.属于行政查询事项</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（四）无法提供</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1.本机关不掌握相关政府信息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2.没有现成信息需要另行制作</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3.补正后申请内容仍不明确</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（五）不予处理</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1.信访举报投诉类申请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2.重复申请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3.要求提供公开出版物</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4.无正当理由大量反复申请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trHeight w:val="779"/>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5.要求行政机关确认或重新出具已获取信息</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（六）其他处理</w:t>
            </w: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3.其他</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（七）总计</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四、结转下年度继续办理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kinsoku/>
              <w:wordWrap/>
              <w:overflowPunct/>
              <w:topLinePunct w:val="0"/>
              <w:autoSpaceDN/>
              <w:bidi w:val="0"/>
              <w:adjustRightInd/>
              <w:snapToGrid/>
              <w:jc w:val="center"/>
              <w:textAlignment w:val="auto"/>
              <w:rPr>
                <w:rFonts w:ascii="宋体" w:eastAsiaTheme="minorEastAsia" w:hint="eastAsia"/>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32"/>
          <w:szCs w:val="32"/>
        </w:rPr>
      </w:pPr>
      <w:r>
        <w:rPr>
          <w:rFonts w:ascii="宋体" w:eastAsia="宋体" w:hAnsi="宋体" w:cs="宋体" w:hint="eastAsia"/>
          <w:b/>
          <w:bCs/>
          <w:i w:val="0"/>
          <w:iCs w:val="0"/>
          <w:caps w:val="0"/>
          <w:color w:val="auto"/>
          <w:spacing w:val="0"/>
          <w:sz w:val="32"/>
          <w:szCs w:val="32"/>
          <w:shd w:val="clear" w:color="auto" w:fill="FFFFFF"/>
        </w:rPr>
        <w:t>四、政府信息公开行政复议、行政诉讼情况</w:t>
      </w:r>
    </w:p>
    <w:tbl>
      <w:tblPr>
        <w:tblStyle w:val="TableNormal"/>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324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行政复议</w:t>
            </w:r>
          </w:p>
        </w:tc>
        <w:tc>
          <w:tcPr>
            <w:tcW w:w="6503" w:type="dxa"/>
            <w:gridSpan w:val="10"/>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行政诉讼</w:t>
            </w:r>
          </w:p>
        </w:tc>
      </w:tr>
      <w:tr>
        <w:tblPrEx>
          <w:tblW w:w="9748" w:type="dxa"/>
          <w:jc w:val="center"/>
          <w:tblInd w:w="0" w:type="dxa"/>
          <w:tblLayout w:type="fixed"/>
          <w:tblCellMar>
            <w:top w:w="0" w:type="dxa"/>
            <w:left w:w="0" w:type="dxa"/>
            <w:bottom w:w="0" w:type="dxa"/>
            <w:right w:w="0" w:type="dxa"/>
          </w:tblCellMar>
        </w:tblPrEx>
        <w:trPr>
          <w:jc w:val="center"/>
        </w:trPr>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结果维持</w:t>
            </w:r>
          </w:p>
        </w:tc>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纠正</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其他</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尚未</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审结</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3248"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复议后起诉</w:t>
            </w:r>
          </w:p>
        </w:tc>
      </w:tr>
      <w:tr>
        <w:tblPrEx>
          <w:tblW w:w="9748" w:type="dxa"/>
          <w:jc w:val="center"/>
          <w:tblInd w:w="0" w:type="dxa"/>
          <w:tblLayout w:type="fixed"/>
          <w:tblCellMar>
            <w:top w:w="0" w:type="dxa"/>
            <w:left w:w="0" w:type="dxa"/>
            <w:bottom w:w="0" w:type="dxa"/>
            <w:right w:w="0" w:type="dxa"/>
          </w:tblCellMar>
        </w:tblPrEx>
        <w:trPr>
          <w:jc w:val="center"/>
        </w:trPr>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维持</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纠正</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其他</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尚未</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审结</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维持</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纠正</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其他</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尚未</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审结</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Ind w:w="0" w:type="dxa"/>
          <w:tblLayout w:type="fixed"/>
          <w:tblCellMar>
            <w:top w:w="0" w:type="dxa"/>
            <w:left w:w="0" w:type="dxa"/>
            <w:bottom w:w="0" w:type="dxa"/>
            <w:right w:w="0" w:type="dxa"/>
          </w:tblCellMar>
        </w:tblPrEx>
        <w:trPr>
          <w:trHeight w:val="672"/>
          <w:jc w:val="center"/>
        </w:trPr>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color w:val="auto"/>
                <w:kern w:val="0"/>
                <w:sz w:val="20"/>
                <w:szCs w:val="20"/>
                <w:lang w:val="en-US" w:eastAsia="zh-CN" w:bidi="ar"/>
              </w:rPr>
              <w:t> </w:t>
            </w: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both"/>
              <w:textAlignment w:val="auto"/>
              <w:rPr>
                <w:color w:val="auto"/>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eastAsiaTheme="minorEastAsia" w:hint="eastAsia"/>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32"/>
          <w:szCs w:val="32"/>
        </w:rPr>
      </w:pPr>
      <w:r>
        <w:rPr>
          <w:rFonts w:ascii="宋体" w:eastAsia="宋体" w:hAnsi="宋体" w:cs="宋体" w:hint="eastAsia"/>
          <w:b/>
          <w:bCs/>
          <w:i w:val="0"/>
          <w:iCs w:val="0"/>
          <w:caps w:val="0"/>
          <w:color w:val="auto"/>
          <w:spacing w:val="0"/>
          <w:sz w:val="32"/>
          <w:szCs w:val="32"/>
          <w:shd w:val="clear" w:color="auto"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2021年，我街道政府信息公开工作在上级部门的领导下取得了一些成效，但是距离上级的要求还有很大差距，工作中任然存在一些问题：一是街道信息员的理论水平和业务能力还有很大欠缺，平时缺乏主动学习的自觉性、积极性，业务方面缺乏系统的培训；二是政府信息公开主动性不强、及时性不够，对一些公开的内容有遗漏现象；三是信息公开有的栏目公开事项较少，如：工作动态较多，其他公开重视程度不够，导致公开内容较少。四是公开的内容和形式还欠丰富。</w:t>
      </w:r>
    </w:p>
    <w:p>
      <w:pPr>
        <w:pStyle w:val="Heading3"/>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color w:val="auto"/>
          <w:sz w:val="32"/>
          <w:szCs w:val="32"/>
          <w:lang w:val="en-US" w:eastAsia="zh-CN"/>
        </w:rPr>
        <w:t>今后，我街道将按照《条例》和市政府对信息公开对相关要求，继续大力推进政府信息公开工作，主要做好以下几方面工作：</w:t>
      </w:r>
    </w:p>
    <w:p>
      <w:pPr>
        <w:ind w:firstLine="640" w:firstLineChars="200"/>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color w:val="auto"/>
          <w:sz w:val="32"/>
          <w:szCs w:val="32"/>
          <w:lang w:val="en-US" w:eastAsia="zh-CN"/>
        </w:rPr>
        <w:t>一是不断强化对信息员对理论和业务培训。二是紧紧围绕实施政府信息公开工作，多渠道、多形式向社会和广大群众深入宣传政府信息公开工作，努力在我下去形成群众积极关心政府信息公开的社会氛围。三是进一步完善政府信息公开各项规章制度，形成以制度管人、以制度管事的长效机制，进一步规范政府信息公开工作。</w:t>
      </w:r>
    </w:p>
    <w:p>
      <w:pPr>
        <w:ind w:firstLine="640" w:firstLineChars="200"/>
        <w:rPr>
          <w:rFonts w:ascii="楷体_GB2312" w:eastAsia="楷体_GB2312" w:hAnsi="楷体_GB2312" w:cs="楷体_GB2312" w:hint="eastAsia"/>
          <w:color w:val="auto"/>
          <w:sz w:val="32"/>
          <w:szCs w:val="32"/>
          <w:lang w:val="en-US" w:eastAsia="zh-CN"/>
        </w:rPr>
      </w:pPr>
      <w:r>
        <w:rPr>
          <w:rFonts w:ascii="楷体_GB2312" w:eastAsia="楷体_GB2312" w:hAnsi="楷体_GB2312" w:cs="楷体_GB2312" w:hint="eastAsia"/>
          <w:color w:val="auto"/>
          <w:sz w:val="32"/>
          <w:szCs w:val="32"/>
          <w:lang w:val="en-US" w:eastAsia="zh-CN"/>
        </w:rPr>
        <w:t>六、其他需要报告的事项</w:t>
      </w:r>
    </w:p>
    <w:p>
      <w:pPr>
        <w:pStyle w:val="Heading3"/>
        <w:numPr>
          <w:ilvl w:val="0"/>
          <w:numId w:val="0"/>
        </w:numPr>
        <w:ind w:firstLine="640" w:firstLineChars="200"/>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color w:val="auto"/>
          <w:sz w:val="32"/>
          <w:szCs w:val="32"/>
          <w:lang w:val="en-US" w:eastAsia="zh-CN"/>
        </w:rPr>
        <w:t>我街道2021年政府信息公开工作没有其他需要报告的事项。</w:t>
      </w:r>
    </w:p>
    <w:p>
      <w:pPr>
        <w:pStyle w:val="Heading3"/>
        <w:numPr>
          <w:ilvl w:val="0"/>
          <w:numId w:val="0"/>
        </w:numPr>
        <w:ind w:firstLine="4800" w:firstLineChars="1500"/>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color w:val="auto"/>
          <w:sz w:val="32"/>
          <w:szCs w:val="32"/>
          <w:lang w:val="en-US" w:eastAsia="zh-CN"/>
        </w:rPr>
        <w:t>乌苏市奎河街道办事处</w:t>
      </w:r>
    </w:p>
    <w:p>
      <w:pPr>
        <w:pStyle w:val="Heading3"/>
        <w:numPr>
          <w:ilvl w:val="0"/>
          <w:numId w:val="0"/>
        </w:numPr>
        <w:ind w:firstLine="5440" w:firstLineChars="1700"/>
        <w:rPr>
          <w:rFonts w:hint="default"/>
          <w:lang w:val="en-US" w:eastAsia="zh-CN"/>
        </w:rPr>
      </w:pPr>
      <w:r>
        <w:rPr>
          <w:rFonts w:ascii="仿宋_GB2312" w:eastAsia="仿宋_GB2312" w:hAnsi="仿宋_GB2312" w:cs="仿宋_GB2312" w:hint="eastAsia"/>
          <w:color w:val="auto"/>
          <w:sz w:val="32"/>
          <w:szCs w:val="32"/>
          <w:lang w:val="en-US" w:eastAsia="zh-CN"/>
        </w:rPr>
        <w:t>2022年1月17日</w:t>
      </w:r>
    </w:p>
    <w:p>
      <w:pPr>
        <w:numPr>
          <w:ilvl w:val="0"/>
          <w:numId w:val="0"/>
        </w:num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3DCCCC7"/>
    <w:multiLevelType w:val="singleLevel"/>
    <w:tmpl w:val="A3DCCCC7"/>
    <w:lvl w:ilvl="0">
      <w:start w:val="2"/>
      <w:numFmt w:val="chineseCounting"/>
      <w:suff w:val="nothing"/>
      <w:lvlText w:val="（%1）"/>
      <w:lvlJc w:val="left"/>
      <w:rPr>
        <w:rFonts w:hint="eastAsia"/>
      </w:rPr>
    </w:lvl>
  </w:abstractNum>
  <w:abstractNum w:abstractNumId="1">
    <w:nsid w:val="FDCAADC1"/>
    <w:multiLevelType w:val="singleLevel"/>
    <w:tmpl w:val="FDCAADC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897A18"/>
    <w:rsid w:val="0C6B31B5"/>
    <w:rsid w:val="17CC0127"/>
    <w:rsid w:val="237D182D"/>
    <w:rsid w:val="25363310"/>
    <w:rsid w:val="445604CC"/>
    <w:rsid w:val="59B83AF0"/>
    <w:rsid w:val="5F4F56DE"/>
    <w:rsid w:val="6A5578EF"/>
    <w:rsid w:val="6DA679E6"/>
    <w:rsid w:val="74240A9F"/>
    <w:rsid w:val="7C03706A"/>
    <w:rsid w:val="7EC032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3">
    <w:name w:val="heading 3"/>
    <w:basedOn w:val="Normal"/>
    <w:next w:val="Normal"/>
    <w:qFormat/>
    <w:pPr>
      <w:keepNext/>
      <w:keepLines/>
      <w:ind w:firstLine="200" w:firstLineChars="200"/>
      <w:outlineLvl w:val="2"/>
    </w:pPr>
    <w:rPr>
      <w:rFonts w:ascii="仿宋" w:eastAsia="仿宋" w:hAnsi="Times New Roman" w:cs="宋体"/>
      <w:color w:val="FF0000"/>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cp:lastPrinted>2022-01-18T12:40:00Z</cp:lastPrinted>
  <dcterms:created xsi:type="dcterms:W3CDTF">2022-01-17T03:55:00Z</dcterms:created>
  <dcterms:modified xsi:type="dcterms:W3CDTF">2023-10-19T03:01:37Z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2FF2E720F77A4E5EB3E69F97E2937E5A</vt:lpwstr>
  </property>
  <property fmtid="{D5CDD505-2E9C-101B-9397-08002B2CF9AE}" pid="3" name="KSOProductBuildVer">
    <vt:lpwstr>2052-11.8.2.8555</vt:lpwstr>
  </property>
</Properties>
</file>