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i w:val="0"/>
          <w:iCs w:val="0"/>
          <w:caps w:val="0"/>
          <w:color w:val="auto"/>
          <w:spacing w:val="0"/>
          <w:sz w:val="24"/>
          <w:szCs w:val="24"/>
        </w:rPr>
      </w:pPr>
      <w:r>
        <w:rPr>
          <w:rFonts w:ascii="宋体" w:hAnsi="宋体" w:cs="宋体" w:hint="eastAsia"/>
          <w:b/>
          <w:bCs/>
          <w:i w:val="0"/>
          <w:iCs w:val="0"/>
          <w:caps w:val="0"/>
          <w:color w:val="auto"/>
          <w:spacing w:val="0"/>
          <w:sz w:val="36"/>
          <w:szCs w:val="36"/>
          <w:shd w:val="clear" w:color="auto" w:fill="FFFFFF"/>
          <w:lang w:val="en-US" w:eastAsia="zh-CN"/>
        </w:rPr>
        <w:t>甘河子镇</w:t>
      </w:r>
      <w:r>
        <w:rPr>
          <w:rFonts w:ascii="宋体" w:eastAsia="宋体" w:hAnsi="宋体" w:cs="宋体" w:hint="eastAsia"/>
          <w:b/>
          <w:bCs/>
          <w:i w:val="0"/>
          <w:iCs w:val="0"/>
          <w:caps w:val="0"/>
          <w:color w:val="auto"/>
          <w:spacing w:val="0"/>
          <w:sz w:val="36"/>
          <w:szCs w:val="36"/>
          <w:shd w:val="clear" w:color="auto" w:fill="FFFFFF"/>
        </w:rPr>
        <w:t>政府信息公开工作</w:t>
      </w:r>
      <w:r>
        <w:rPr>
          <w:rFonts w:ascii="宋体" w:hAnsi="宋体" w:cs="宋体" w:hint="eastAsia"/>
          <w:b/>
          <w:bCs/>
          <w:i w:val="0"/>
          <w:iCs w:val="0"/>
          <w:caps w:val="0"/>
          <w:color w:val="auto"/>
          <w:spacing w:val="0"/>
          <w:sz w:val="36"/>
          <w:szCs w:val="36"/>
          <w:shd w:val="clear" w:color="auto" w:fill="FFFFFF"/>
          <w:lang w:val="en-US" w:eastAsia="zh-CN"/>
        </w:rPr>
        <w:t>2021</w:t>
      </w:r>
      <w:r>
        <w:rPr>
          <w:rFonts w:ascii="宋体" w:eastAsia="宋体" w:hAnsi="宋体" w:cs="宋体" w:hint="eastAsia"/>
          <w:b/>
          <w:bCs/>
          <w:i w:val="0"/>
          <w:iCs w:val="0"/>
          <w:caps w:val="0"/>
          <w:color w:val="auto"/>
          <w:spacing w:val="0"/>
          <w:sz w:val="36"/>
          <w:szCs w:val="36"/>
          <w:shd w:val="clear" w:color="auto" w:fill="FFFFFF"/>
        </w:rPr>
        <w:t>年度报告</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i w:val="0"/>
          <w:iCs w:val="0"/>
          <w:caps w:val="0"/>
          <w:color w:val="auto"/>
          <w:spacing w:val="0"/>
          <w:sz w:val="24"/>
          <w:szCs w:val="24"/>
        </w:rPr>
      </w:pPr>
      <w:r>
        <w:rPr>
          <w:rFonts w:ascii="仿宋_GB2312" w:eastAsia="仿宋_GB2312" w:hAnsi="仿宋_GB2312" w:cs="仿宋_GB2312" w:hint="eastAsia"/>
          <w:kern w:val="2"/>
          <w:sz w:val="32"/>
          <w:szCs w:val="32"/>
          <w:lang w:val="en-US" w:eastAsia="zh-CN" w:bidi="ar-SA"/>
        </w:rPr>
        <w:t>根据《中华人民共和国政府信息公开条例》和《国务院办公厅政府信息与政务公开办公室关于政府信息公开工作年度报告有关事项的通知》（国办公开办函〔2019〕60号）（中国政府网站已公开发布）文件要求，按照塔城地区行署办公室《关于做好政府信息公开工作年度报告编制工作的通知》要求，现报告甘河子镇人民政府2021</w:t>
      </w:r>
      <w:bookmarkStart w:id="0" w:name="_GoBack"/>
      <w:bookmarkEnd w:id="0"/>
      <w:r>
        <w:rPr>
          <w:rFonts w:ascii="仿宋_GB2312" w:eastAsia="仿宋_GB2312" w:hAnsi="仿宋_GB2312" w:cs="仿宋_GB2312" w:hint="eastAsia"/>
          <w:kern w:val="2"/>
          <w:sz w:val="32"/>
          <w:szCs w:val="32"/>
          <w:lang w:val="en-US" w:eastAsia="zh-CN" w:bidi="ar-SA"/>
        </w:rPr>
        <w:t>年度政府信息公开工作情况。</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仿宋_GB2312" w:eastAsia="仿宋_GB2312" w:hAnsi="Times New Roman" w:cs="Times New Roman" w:hint="eastAsia"/>
          <w:b/>
          <w:kern w:val="2"/>
          <w:sz w:val="32"/>
          <w:szCs w:val="32"/>
          <w:lang w:val="en-US" w:eastAsia="zh-CN" w:bidi="ar-SA"/>
        </w:rPr>
      </w:pPr>
      <w:r>
        <w:rPr>
          <w:rFonts w:ascii="仿宋_GB2312" w:eastAsia="仿宋_GB2312" w:hAnsi="Times New Roman" w:cs="Times New Roman" w:hint="eastAsia"/>
          <w:b/>
          <w:kern w:val="2"/>
          <w:sz w:val="32"/>
          <w:szCs w:val="32"/>
          <w:lang w:val="en-US" w:eastAsia="zh-CN" w:bidi="ar-SA"/>
        </w:rPr>
        <w:t>一、总体情况</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val="en-US" w:eastAsia="zh-CN"/>
        </w:rPr>
        <w:t>1</w:t>
      </w:r>
      <w:r>
        <w:rPr>
          <w:rFonts w:ascii="仿宋_GB2312" w:eastAsia="仿宋_GB2312" w:hint="eastAsia"/>
          <w:sz w:val="32"/>
          <w:szCs w:val="32"/>
        </w:rPr>
        <w:t>年，我镇及时跟进政务公开工作总要求，认真贯彻落实新修订的《政府信息公开条例》，坚持“公开为常态，不公开为例外”要求，遵循公正、公平、合法、便民原则，以抓牢重点信息公开和重点单位公开工作为主线，深入推进决策和执行公开，加强政策解读、回应关切。</w:t>
      </w:r>
    </w:p>
    <w:p>
      <w:pPr>
        <w:spacing w:line="560" w:lineRule="exact"/>
        <w:ind w:firstLine="640" w:firstLineChars="200"/>
        <w:rPr>
          <w:rFonts w:ascii="仿宋_GB2312" w:eastAsia="仿宋_GB2312"/>
          <w:b/>
          <w:sz w:val="32"/>
          <w:szCs w:val="32"/>
        </w:rPr>
      </w:pPr>
      <w:r>
        <w:rPr>
          <w:rFonts w:ascii="仿宋_GB2312" w:eastAsia="仿宋_GB2312" w:hint="eastAsia"/>
          <w:b/>
          <w:sz w:val="32"/>
          <w:szCs w:val="32"/>
        </w:rPr>
        <w:t>（一）政府信息公开工作机构和人员设置情况</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为进一步加强政务信息公开工作，我镇调整充实政府信息公开领导小组和信息公开办公室成员，明确专人专岗负责，形成了主要领导高度重视亲自抓，分管领导加强协调具体抓，相关部门明确专人负责抓，纪检监察部门全程参与督促抓的工作格局。</w:t>
      </w:r>
    </w:p>
    <w:p>
      <w:pPr>
        <w:spacing w:line="560" w:lineRule="exact"/>
        <w:ind w:firstLine="640" w:firstLineChars="200"/>
        <w:rPr>
          <w:rFonts w:ascii="仿宋_GB2312" w:eastAsia="仿宋_GB2312"/>
          <w:sz w:val="32"/>
          <w:szCs w:val="32"/>
        </w:rPr>
      </w:pPr>
      <w:r>
        <w:rPr>
          <w:rFonts w:ascii="仿宋_GB2312" w:eastAsia="仿宋_GB2312" w:hint="eastAsia"/>
          <w:b/>
          <w:sz w:val="32"/>
          <w:szCs w:val="32"/>
        </w:rPr>
        <w:t>（二）建立健全政府信息公开工作制度情况</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按照有关规定，结合本镇实际，在梳理完善各项原有制度的基础上，逐步建立健全依申请公开、保密审查、和责任追究等配套制度，进一步深化制度改革，创新公开制度，加强政府公开信息报送体系建设。积极稳妥地推进和规范政府信息公开工作，依法维护国家秘密安全，保障公民、法人和其他组织依法获取政府信息，提高政府工作透明度，促进依法行政。</w:t>
      </w:r>
    </w:p>
    <w:p>
      <w:pPr>
        <w:spacing w:line="560" w:lineRule="exact"/>
        <w:ind w:firstLine="640" w:firstLineChars="200"/>
        <w:rPr>
          <w:rFonts w:ascii="仿宋_GB2312" w:eastAsia="仿宋_GB2312"/>
          <w:b/>
          <w:sz w:val="32"/>
          <w:szCs w:val="32"/>
        </w:rPr>
      </w:pPr>
      <w:r>
        <w:rPr>
          <w:rFonts w:ascii="仿宋_GB2312" w:eastAsia="仿宋_GB2312" w:hint="eastAsia"/>
          <w:b/>
          <w:sz w:val="32"/>
          <w:szCs w:val="32"/>
        </w:rPr>
        <w:t>（三）政府信息公开载体的建设、运行情况</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我镇依托乌苏市政府信息统一公开平台、乌苏市人民政府门户网站基层信息化应用平台实施政务公开工作，有力的推进政府信息公开工作，政府信息公开工作得到了进一步的完善及规范发展。截止202</w:t>
      </w:r>
      <w:r>
        <w:rPr>
          <w:rFonts w:ascii="仿宋_GB2312" w:eastAsia="仿宋_GB2312" w:hint="eastAsia"/>
          <w:sz w:val="32"/>
          <w:szCs w:val="32"/>
          <w:lang w:val="en-US" w:eastAsia="zh-CN"/>
        </w:rPr>
        <w:t>1</w:t>
      </w:r>
      <w:r>
        <w:rPr>
          <w:rFonts w:ascii="仿宋_GB2312" w:eastAsia="仿宋_GB2312" w:hint="eastAsia"/>
          <w:sz w:val="32"/>
          <w:szCs w:val="32"/>
        </w:rPr>
        <w:t>年12月31日，我镇在信息公开统一平台共规范发布了</w:t>
      </w:r>
      <w:r>
        <w:rPr>
          <w:rFonts w:ascii="仿宋_GB2312" w:eastAsia="仿宋_GB2312" w:hint="eastAsia"/>
          <w:sz w:val="32"/>
          <w:szCs w:val="32"/>
          <w:lang w:val="en-US" w:eastAsia="zh-CN"/>
        </w:rPr>
        <w:t>5</w:t>
      </w:r>
      <w:r>
        <w:rPr>
          <w:rFonts w:ascii="仿宋_GB2312" w:eastAsia="仿宋_GB2312" w:hint="eastAsia"/>
          <w:sz w:val="32"/>
          <w:szCs w:val="32"/>
        </w:rPr>
        <w:t>条政府信息。</w:t>
      </w:r>
    </w:p>
    <w:p>
      <w:pPr>
        <w:spacing w:line="560" w:lineRule="exact"/>
        <w:ind w:firstLine="640" w:firstLineChars="200"/>
        <w:rPr>
          <w:rFonts w:ascii="仿宋_GB2312" w:eastAsia="仿宋_GB2312"/>
          <w:b/>
          <w:sz w:val="32"/>
          <w:szCs w:val="32"/>
        </w:rPr>
      </w:pPr>
      <w:r>
        <w:rPr>
          <w:rFonts w:ascii="仿宋_GB2312" w:eastAsia="仿宋_GB2312" w:hint="eastAsia"/>
          <w:b/>
          <w:sz w:val="32"/>
          <w:szCs w:val="32"/>
        </w:rPr>
        <w:t>（四）政府信息公开工作考核、社会评议和责任追究结果等监督情况</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b/>
          <w:bCs/>
          <w:i w:val="0"/>
          <w:iCs w:val="0"/>
          <w:caps w:val="0"/>
          <w:color w:val="auto"/>
          <w:spacing w:val="0"/>
          <w:sz w:val="24"/>
          <w:szCs w:val="24"/>
          <w:shd w:val="clear" w:color="auto" w:fill="FFFFFF"/>
        </w:rPr>
      </w:pPr>
      <w:r>
        <w:rPr>
          <w:rFonts w:ascii="仿宋_GB2312" w:eastAsia="仿宋_GB2312" w:hint="eastAsia"/>
          <w:sz w:val="32"/>
          <w:szCs w:val="32"/>
        </w:rPr>
        <w:t>我镇严格贯彻落实《政府信息公开条例》规定要求，对不按照《政府信息公开条例》规定履行政府信息公开工作职责的，视情况追究相关责任人的责任。</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i w:val="0"/>
          <w:iCs w:val="0"/>
          <w:caps w:val="0"/>
          <w:color w:val="auto"/>
          <w:spacing w:val="0"/>
          <w:sz w:val="24"/>
          <w:szCs w:val="24"/>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仿宋_GB2312" w:eastAsia="仿宋_GB2312" w:hAnsi="Times New Roman" w:cs="Times New Roman" w:hint="eastAsia"/>
          <w:b/>
          <w:kern w:val="2"/>
          <w:sz w:val="32"/>
          <w:szCs w:val="32"/>
          <w:lang w:val="en-US" w:eastAsia="zh-CN" w:bidi="ar-SA"/>
        </w:rPr>
      </w:pPr>
      <w:r>
        <w:rPr>
          <w:rFonts w:ascii="仿宋_GB2312" w:eastAsia="仿宋_GB2312" w:hAnsi="Times New Roman" w:cs="Times New Roman" w:hint="eastAsia"/>
          <w:b/>
          <w:kern w:val="2"/>
          <w:sz w:val="32"/>
          <w:szCs w:val="32"/>
          <w:lang w:val="en-US" w:eastAsia="zh-CN" w:bidi="ar-SA"/>
        </w:rPr>
        <w:t>二、主动公开政府信息情况</w:t>
      </w:r>
    </w:p>
    <w:tbl>
      <w:tblPr>
        <w:tblStyle w:val="TableNormal"/>
        <w:tblW w:w="9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435"/>
        <w:gridCol w:w="2435"/>
        <w:gridCol w:w="2435"/>
        <w:gridCol w:w="2435"/>
      </w:tblGrid>
      <w:tr>
        <w:tblPrEx>
          <w:tblW w:w="9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第二十条第（一）项</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本年制发件数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本年废止件数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现行有效件数</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规章</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0</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行政规范性文件</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default"/>
                <w:color w:val="auto"/>
                <w:lang w:val="en-US" w:eastAsia="zh-CN"/>
              </w:rPr>
            </w:pPr>
            <w:r>
              <w:rPr>
                <w:rFonts w:hint="eastAsia"/>
                <w:color w:val="auto"/>
                <w:lang w:val="en-US" w:eastAsia="zh-CN"/>
              </w:rPr>
              <w:t>0</w:t>
            </w:r>
          </w:p>
        </w:tc>
      </w:tr>
      <w:tr>
        <w:tblPrEx>
          <w:tblW w:w="9740" w:type="dxa"/>
          <w:jc w:val="center"/>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第二十条第（五）项</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行政许可</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0</w:t>
            </w:r>
          </w:p>
        </w:tc>
      </w:tr>
      <w:tr>
        <w:tblPrEx>
          <w:tblW w:w="9740" w:type="dxa"/>
          <w:jc w:val="center"/>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第二十条第（六）项</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行政处罚</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0</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行政强制</w:t>
            </w:r>
          </w:p>
        </w:tc>
        <w:tc>
          <w:tcPr>
            <w:tcW w:w="7305"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0</w:t>
            </w:r>
          </w:p>
        </w:tc>
      </w:tr>
      <w:tr>
        <w:tblPrEx>
          <w:tblW w:w="9740" w:type="dxa"/>
          <w:jc w:val="center"/>
          <w:tblLayout w:type="fixed"/>
          <w:tblCellMar>
            <w:top w:w="0" w:type="dxa"/>
            <w:left w:w="0" w:type="dxa"/>
            <w:bottom w:w="0" w:type="dxa"/>
            <w:right w:w="0" w:type="dxa"/>
          </w:tblCellMar>
        </w:tblPrEx>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第二十条第（八）项</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本年收费金额（单位：万元）</w:t>
            </w:r>
          </w:p>
        </w:tc>
      </w:tr>
      <w:tr>
        <w:tblPrEx>
          <w:tblW w:w="9740"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行政事业性收费</w:t>
            </w:r>
          </w:p>
        </w:tc>
        <w:tc>
          <w:tcPr>
            <w:tcW w:w="7305"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i w:val="0"/>
          <w:iCs w:val="0"/>
          <w:caps w:val="0"/>
          <w:color w:val="auto"/>
          <w:spacing w:val="0"/>
          <w:sz w:val="24"/>
          <w:szCs w:val="24"/>
        </w:rPr>
      </w:pPr>
      <w:r>
        <w:rPr>
          <w:rFonts w:ascii="仿宋_GB2312" w:eastAsia="仿宋_GB2312" w:hAnsi="Times New Roman" w:cs="Times New Roman" w:hint="eastAsia"/>
          <w:b/>
          <w:kern w:val="2"/>
          <w:sz w:val="32"/>
          <w:szCs w:val="32"/>
          <w:lang w:val="en-US" w:eastAsia="zh-CN" w:bidi="ar-SA"/>
        </w:rPr>
        <w:t>三、收到和处理政府信息公开申请情况</w:t>
      </w:r>
    </w:p>
    <w:tbl>
      <w:tblPr>
        <w:tblStyle w:val="TableNormal"/>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楷体" w:eastAsia="楷体" w:hAnsi="楷体" w:cs="楷体" w:hint="eastAsia"/>
                <w:color w:val="auto"/>
                <w:kern w:val="0"/>
                <w:sz w:val="20"/>
                <w:szCs w:val="20"/>
                <w:lang w:val="en-US" w:eastAsia="zh-CN"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申请人情况</w:t>
            </w:r>
          </w:p>
        </w:tc>
      </w:tr>
      <w:tr>
        <w:tblPrEx>
          <w:tblW w:w="9748" w:type="dxa"/>
          <w:jc w:val="center"/>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val="restart"/>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自然人</w:t>
            </w:r>
          </w:p>
        </w:tc>
        <w:tc>
          <w:tcPr>
            <w:tcW w:w="3440" w:type="dxa"/>
            <w:gridSpan w:val="5"/>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法人或其他组织</w:t>
            </w:r>
          </w:p>
        </w:tc>
        <w:tc>
          <w:tcPr>
            <w:tcW w:w="689" w:type="dxa"/>
            <w:vMerge w:val="restart"/>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商业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企业</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科研</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社会公益组织</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法律服务机构</w:t>
            </w:r>
          </w:p>
        </w:tc>
        <w:tc>
          <w:tcPr>
            <w:tcW w:w="688"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其他</w:t>
            </w:r>
          </w:p>
        </w:tc>
        <w:tc>
          <w:tcPr>
            <w:tcW w:w="689" w:type="dxa"/>
            <w:vMerge/>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r>
      <w:tr>
        <w:tblPrEx>
          <w:tblW w:w="9748" w:type="dxa"/>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一、本年新收政府信息公开申请数量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eastAsia="宋体" w:hint="eastAsia"/>
                <w:color w:val="auto"/>
                <w:lang w:val="en-US" w:eastAsia="zh-CN"/>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二、上年结转政府信息公开申请数量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val="restart"/>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三、本年度办理结果</w:t>
            </w: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（一）予以公开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（二）部分公开</w:t>
            </w:r>
            <w:r>
              <w:rPr>
                <w:rFonts w:ascii="楷体" w:eastAsia="楷体" w:hAnsi="楷体" w:cs="楷体" w:hint="eastAsia"/>
                <w:color w:val="auto"/>
                <w:kern w:val="0"/>
                <w:sz w:val="20"/>
                <w:szCs w:val="20"/>
                <w:lang w:val="en-US" w:eastAsia="zh-CN" w:bidi="ar"/>
              </w:rPr>
              <w:t>（区分处理的，只计这一情形，不计其他情形）</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（三）不予公开</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1.属于国家秘密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2.其他法律行政法规禁止公开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3.危及“三安全一稳定”</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4.保护第三方合法权益</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5.属于三类内部事务信息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6.属于四类过程性信息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7.属于行政执法案卷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8.属于行政查询事项</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（四）无法提供</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1.本机关不掌握相关政府信息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2.没有现成信息需要另行制作</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3.补正后申请内容仍不明确</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（五）不予处理</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1.信访举报投诉类申请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2.重复申请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3.要求提供公开出版物</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4.无正当理由大量反复申请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trHeight w:val="779"/>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5.要求行政机关确认或重新出具已获取信息</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（六）其他处理</w:t>
            </w: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3.其他</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（七）总计</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r>
      <w:tr>
        <w:tblPrEx>
          <w:tblW w:w="9748" w:type="dxa"/>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四、结转下年度继续办理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color w:val="auto"/>
              </w:rPr>
            </w:pPr>
            <w:r>
              <w:rPr>
                <w:rFonts w:hint="eastAsia"/>
                <w:color w:val="auto"/>
                <w:lang w:val="en-US" w:eastAsia="zh-CN"/>
              </w:rPr>
              <w:t>0</w:t>
            </w:r>
          </w:p>
        </w:tc>
        <w:tc>
          <w:tcPr>
            <w:tcW w:w="689"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宋体" w:hint="eastAsia"/>
                <w:color w:val="auto"/>
                <w:sz w:val="24"/>
                <w:szCs w:val="24"/>
              </w:rPr>
            </w:pPr>
            <w:r>
              <w:rPr>
                <w:rFonts w:hint="eastAsia"/>
                <w:color w:val="auto"/>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仿宋_GB2312" w:eastAsia="仿宋_GB2312" w:hAnsi="Times New Roman" w:cs="Times New Roman" w:hint="eastAsia"/>
          <w:b/>
          <w:kern w:val="2"/>
          <w:sz w:val="32"/>
          <w:szCs w:val="32"/>
          <w:lang w:val="en-US" w:eastAsia="zh-CN" w:bidi="ar-SA"/>
        </w:rPr>
      </w:pPr>
      <w:r>
        <w:rPr>
          <w:rFonts w:ascii="仿宋_GB2312" w:eastAsia="仿宋_GB2312" w:hAnsi="Times New Roman" w:cs="Times New Roman" w:hint="eastAsia"/>
          <w:b/>
          <w:kern w:val="2"/>
          <w:sz w:val="32"/>
          <w:szCs w:val="32"/>
          <w:lang w:val="en-US" w:eastAsia="zh-CN" w:bidi="ar-SA"/>
        </w:rPr>
        <w:t>四、政府信息公开行政复议、行政诉讼情况</w:t>
      </w:r>
    </w:p>
    <w:tbl>
      <w:tblPr>
        <w:tblStyle w:val="TableNormal"/>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324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行政复议</w:t>
            </w:r>
          </w:p>
        </w:tc>
        <w:tc>
          <w:tcPr>
            <w:tcW w:w="6503" w:type="dxa"/>
            <w:gridSpan w:val="10"/>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行政诉讼</w:t>
            </w:r>
          </w:p>
        </w:tc>
      </w:tr>
      <w:tr>
        <w:tblPrEx>
          <w:tblW w:w="9748" w:type="dxa"/>
          <w:jc w:val="center"/>
          <w:tblLayout w:type="fixed"/>
          <w:tblCellMar>
            <w:top w:w="0" w:type="dxa"/>
            <w:left w:w="0" w:type="dxa"/>
            <w:bottom w:w="0" w:type="dxa"/>
            <w:right w:w="0" w:type="dxa"/>
          </w:tblCellMar>
        </w:tblPrEx>
        <w:trPr>
          <w:jc w:val="center"/>
        </w:trPr>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结果维持</w:t>
            </w:r>
          </w:p>
        </w:tc>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3248"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复议后起诉</w:t>
            </w:r>
          </w:p>
        </w:tc>
      </w:tr>
      <w:tr>
        <w:tblPrEx>
          <w:tblW w:w="9748" w:type="dxa"/>
          <w:jc w:val="center"/>
          <w:tblLayout w:type="fixed"/>
          <w:tblCellMar>
            <w:top w:w="0" w:type="dxa"/>
            <w:left w:w="0" w:type="dxa"/>
            <w:bottom w:w="0" w:type="dxa"/>
            <w:right w:w="0" w:type="dxa"/>
          </w:tblCellMar>
        </w:tblPrEx>
        <w:trPr>
          <w:jc w:val="center"/>
        </w:trPr>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维持</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维持</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纠正</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其他</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结果</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尚未</w:t>
            </w:r>
            <w:r>
              <w:rPr>
                <w:rFonts w:ascii="宋体" w:eastAsia="宋体" w:hAnsi="宋体" w:cs="宋体" w:hint="eastAsia"/>
                <w:color w:val="auto"/>
                <w:kern w:val="0"/>
                <w:sz w:val="20"/>
                <w:szCs w:val="20"/>
                <w:lang w:val="en-US" w:eastAsia="zh-CN" w:bidi="ar"/>
              </w:rPr>
              <w:br/>
            </w:r>
            <w:r>
              <w:rPr>
                <w:rFonts w:ascii="宋体" w:eastAsia="宋体" w:hAnsi="宋体" w:cs="宋体" w:hint="eastAsia"/>
                <w:color w:val="auto"/>
                <w:kern w:val="0"/>
                <w:sz w:val="20"/>
                <w:szCs w:val="20"/>
                <w:lang w:val="en-US" w:eastAsia="zh-CN" w:bidi="ar"/>
              </w:rPr>
              <w:t>审结</w:t>
            </w:r>
          </w:p>
        </w:tc>
        <w:tc>
          <w:tcPr>
            <w:tcW w:w="651"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748" w:type="dxa"/>
          <w:jc w:val="center"/>
          <w:tblLayout w:type="fixed"/>
          <w:tblCellMar>
            <w:top w:w="0" w:type="dxa"/>
            <w:left w:w="0" w:type="dxa"/>
            <w:bottom w:w="0" w:type="dxa"/>
            <w:right w:w="0" w:type="dxa"/>
          </w:tblCellMar>
        </w:tblPrEx>
        <w:trPr>
          <w:trHeight w:val="672"/>
          <w:jc w:val="center"/>
        </w:trPr>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eastAsia="宋体" w:hint="eastAsia"/>
                <w:color w:val="auto"/>
                <w:lang w:val="en-US" w:eastAsia="zh-CN"/>
              </w:rPr>
            </w:pPr>
            <w:r>
              <w:rPr>
                <w:rFonts w:hint="eastAsia"/>
                <w:color w:val="auto"/>
                <w:lang w:val="en-US" w:eastAsia="zh-CN"/>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eastAsia="宋体" w:hint="eastAsia"/>
                <w:color w:val="auto"/>
                <w:lang w:val="en-US" w:eastAsia="zh-CN"/>
              </w:rPr>
            </w:pPr>
            <w:r>
              <w:rPr>
                <w:rFonts w:hint="eastAsia"/>
                <w:color w:val="auto"/>
                <w:lang w:val="en-US" w:eastAsia="zh-CN"/>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eastAsia="宋体" w:hint="eastAsia"/>
                <w:color w:val="auto"/>
                <w:lang w:val="en-US" w:eastAsia="zh-CN"/>
              </w:rPr>
            </w:pPr>
            <w:r>
              <w:rPr>
                <w:rFonts w:hint="eastAsia"/>
                <w:color w:val="auto"/>
                <w:lang w:val="en-US" w:eastAsia="zh-CN"/>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eastAsia="宋体" w:hint="eastAsia"/>
                <w:color w:val="auto"/>
                <w:lang w:val="en-US" w:eastAsia="zh-CN"/>
              </w:rPr>
            </w:pPr>
            <w:r>
              <w:rPr>
                <w:rFonts w:hint="eastAsia"/>
                <w:color w:val="auto"/>
                <w:lang w:val="en-US" w:eastAsia="zh-CN"/>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hint="eastAsia"/>
                <w:color w:val="auto"/>
                <w:lang w:val="en-US" w:eastAsia="zh-CN"/>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hint="eastAsia"/>
                <w:color w:val="auto"/>
                <w:lang w:val="en-US" w:eastAsia="zh-CN"/>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hint="eastAsia"/>
                <w:color w:val="auto"/>
                <w:lang w:val="en-US" w:eastAsia="zh-CN"/>
              </w:rPr>
              <w:t>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hint="eastAsia"/>
                <w:color w:val="auto"/>
                <w:lang w:val="en-US" w:eastAsia="zh-CN"/>
              </w:rPr>
              <w:t>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hint="eastAsia"/>
                <w:color w:val="auto"/>
                <w:lang w:val="en-US" w:eastAsia="zh-CN"/>
              </w:rPr>
              <w:t>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hint="eastAsia"/>
                <w:color w:val="auto"/>
                <w:lang w:val="en-US" w:eastAsia="zh-CN"/>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hint="eastAsia"/>
                <w:color w:val="auto"/>
                <w:lang w:val="en-US" w:eastAsia="zh-CN"/>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hint="eastAsia"/>
                <w:color w:val="auto"/>
                <w:lang w:val="en-US" w:eastAsia="zh-CN"/>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hint="eastAsia"/>
                <w:color w:val="auto"/>
                <w:lang w:val="en-US" w:eastAsia="zh-CN"/>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color w:val="auto"/>
              </w:rPr>
            </w:pPr>
            <w:r>
              <w:rPr>
                <w:rFonts w:hint="eastAsia"/>
                <w:color w:val="auto"/>
                <w:lang w:val="en-US" w:eastAsia="zh-CN"/>
              </w:rPr>
              <w:t>0</w:t>
            </w:r>
          </w:p>
        </w:tc>
        <w:tc>
          <w:tcPr>
            <w:tcW w:w="651"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leftChars="0" w:rightChars="0" w:firstLineChars="0"/>
              <w:jc w:val="center"/>
              <w:textAlignment w:val="auto"/>
              <w:rPr>
                <w:rFonts w:ascii="宋体" w:hint="eastAsia"/>
                <w:color w:val="auto"/>
                <w:sz w:val="24"/>
                <w:szCs w:val="24"/>
              </w:rPr>
            </w:pPr>
            <w:r>
              <w:rPr>
                <w:rFonts w:hint="eastAsia"/>
                <w:color w:val="auto"/>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仿宋_GB2312" w:eastAsia="仿宋_GB2312" w:hAnsi="Times New Roman" w:cs="Times New Roman" w:hint="eastAsia"/>
          <w:b/>
          <w:kern w:val="2"/>
          <w:sz w:val="32"/>
          <w:szCs w:val="32"/>
          <w:lang w:val="en-US" w:eastAsia="zh-CN" w:bidi="ar-SA"/>
        </w:rPr>
      </w:pPr>
      <w:r>
        <w:rPr>
          <w:rFonts w:ascii="仿宋_GB2312" w:eastAsia="仿宋_GB2312" w:hAnsi="Times New Roman" w:cs="Times New Roman" w:hint="eastAsia"/>
          <w:b/>
          <w:kern w:val="2"/>
          <w:sz w:val="32"/>
          <w:szCs w:val="32"/>
          <w:lang w:val="en-US" w:eastAsia="zh-CN" w:bidi="ar-SA"/>
        </w:rPr>
        <w:t>五、存在的主要问题及改进情况</w:t>
      </w:r>
    </w:p>
    <w:p>
      <w:pPr>
        <w:spacing w:line="560" w:lineRule="exact"/>
        <w:ind w:firstLine="640" w:firstLineChars="20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val="en-US" w:eastAsia="zh-CN"/>
        </w:rPr>
        <w:t>1</w:t>
      </w:r>
      <w:r>
        <w:rPr>
          <w:rFonts w:ascii="仿宋_GB2312" w:eastAsia="仿宋_GB2312" w:hint="eastAsia"/>
          <w:sz w:val="32"/>
          <w:szCs w:val="32"/>
        </w:rPr>
        <w:t>年我镇政府信息公开工作扎实有序，成效明显。但是，与落实新《政府信息公开条例》要求相比，站在服务群众高度看，从工作运行机制分析，主要存在以下几方面问题：一是信息公开内容质量有弱项，有部分目录内的内容偏少，部分解读仍有欠缺。二是具体从事信息公开的人员业务能力仍需提高，特别是要加强高质量的信息撰写水平。</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i w:val="0"/>
          <w:iCs w:val="0"/>
          <w:caps w:val="0"/>
          <w:color w:val="auto"/>
          <w:spacing w:val="0"/>
          <w:sz w:val="24"/>
          <w:szCs w:val="24"/>
        </w:rPr>
      </w:pPr>
      <w:r>
        <w:rPr>
          <w:rFonts w:ascii="仿宋_GB2312" w:eastAsia="仿宋_GB2312" w:hint="eastAsia"/>
          <w:sz w:val="32"/>
          <w:szCs w:val="32"/>
        </w:rPr>
        <w:t>针对以上问题，今年我镇将从以下两个方面改进：一是突出公开工作重点，提优服务水平。做到把握全面、突出重点。真正把群众最关心、反映最强烈，社会普遍关注相关信息内容作为政务公开的重点，确保政府信息公开工作质量。二是进一步拓展信息公开途径，结合我镇政务工作特色，丰富公开形式，拓宽公开渠道，充分运用网络新媒体，提高政府服务中心政府信息公开力度，提高便民性。</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仿宋_GB2312" w:eastAsia="仿宋_GB2312" w:hAnsi="Times New Roman" w:cs="Times New Roman" w:hint="eastAsia"/>
          <w:b/>
          <w:kern w:val="2"/>
          <w:sz w:val="32"/>
          <w:szCs w:val="32"/>
          <w:lang w:val="en-US" w:eastAsia="zh-CN" w:bidi="ar-SA"/>
        </w:rPr>
      </w:pPr>
      <w:r>
        <w:rPr>
          <w:rFonts w:ascii="仿宋_GB2312" w:eastAsia="仿宋_GB2312" w:hAnsi="Times New Roman" w:cs="Times New Roman" w:hint="eastAsia"/>
          <w:b/>
          <w:kern w:val="2"/>
          <w:sz w:val="32"/>
          <w:szCs w:val="32"/>
          <w:lang w:val="en-US" w:eastAsia="zh-CN" w:bidi="ar-SA"/>
        </w:rPr>
        <w:t>六、其他需要报告的事项</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left"/>
        <w:textAlignment w:val="auto"/>
        <w:rPr>
          <w:color w:val="auto"/>
        </w:rPr>
      </w:pPr>
      <w:r>
        <w:rPr>
          <w:rFonts w:ascii="仿宋_GB2312" w:eastAsia="仿宋_GB2312" w:hint="eastAsia"/>
          <w:sz w:val="32"/>
          <w:szCs w:val="32"/>
        </w:rPr>
        <w:t>我镇无需要说明的其他事项。</w:t>
      </w:r>
    </w:p>
    <w:p>
      <w:pPr>
        <w:tabs>
          <w:tab w:val="center" w:leader="dot" w:pos="4153"/>
          <w:tab w:val="right" w:pos="8306"/>
        </w:tabs>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5098"/>
    <w:rsid w:val="01AE1F86"/>
    <w:rsid w:val="03D929C2"/>
    <w:rsid w:val="03E65681"/>
    <w:rsid w:val="04C73F20"/>
    <w:rsid w:val="063F78BD"/>
    <w:rsid w:val="066149AE"/>
    <w:rsid w:val="07F420E2"/>
    <w:rsid w:val="08AB5098"/>
    <w:rsid w:val="0C0B331F"/>
    <w:rsid w:val="0EBE24E5"/>
    <w:rsid w:val="14C65EDB"/>
    <w:rsid w:val="16554BD2"/>
    <w:rsid w:val="19681EA7"/>
    <w:rsid w:val="1F8C14DF"/>
    <w:rsid w:val="24535871"/>
    <w:rsid w:val="28260101"/>
    <w:rsid w:val="2E3A43D2"/>
    <w:rsid w:val="33201563"/>
    <w:rsid w:val="37AE290F"/>
    <w:rsid w:val="37CC493B"/>
    <w:rsid w:val="3A56088C"/>
    <w:rsid w:val="3A791840"/>
    <w:rsid w:val="3A7F5497"/>
    <w:rsid w:val="406223D3"/>
    <w:rsid w:val="41B80DEE"/>
    <w:rsid w:val="43A77B46"/>
    <w:rsid w:val="45B9216C"/>
    <w:rsid w:val="46591E99"/>
    <w:rsid w:val="48E90EB6"/>
    <w:rsid w:val="4B6A64B7"/>
    <w:rsid w:val="4D761912"/>
    <w:rsid w:val="4E573D16"/>
    <w:rsid w:val="4E7616D9"/>
    <w:rsid w:val="50AA575C"/>
    <w:rsid w:val="518F3403"/>
    <w:rsid w:val="522505CB"/>
    <w:rsid w:val="522B7F4D"/>
    <w:rsid w:val="5F487D54"/>
    <w:rsid w:val="627A018A"/>
    <w:rsid w:val="63B41D2E"/>
    <w:rsid w:val="66DC09AA"/>
    <w:rsid w:val="68022CFB"/>
    <w:rsid w:val="680C0CD7"/>
    <w:rsid w:val="699C7580"/>
    <w:rsid w:val="69EA0F47"/>
    <w:rsid w:val="6A6269D6"/>
    <w:rsid w:val="6CC87338"/>
    <w:rsid w:val="75A77F05"/>
    <w:rsid w:val="76523692"/>
    <w:rsid w:val="7A08545F"/>
    <w:rsid w:val="7AE024FC"/>
    <w:rsid w:val="7D0279B5"/>
    <w:rsid w:val="7E7D7C5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tabs>
        <w:tab w:val="center" w:leader="dot" w:pos="4153"/>
        <w:tab w:val="right" w:pos="8306"/>
      </w:tabs>
      <w:spacing w:beforeLines="0" w:beforeAutospacing="0" w:afterLines="0" w:afterAutospacing="0" w:line="560" w:lineRule="exact"/>
      <w:ind w:firstLine="0" w:firstLineChars="0"/>
      <w:jc w:val="center"/>
      <w:outlineLvl w:val="0"/>
    </w:pPr>
    <w:rPr>
      <w:rFonts w:eastAsia="方正小标宋简体" w:cs="Times New Roman"/>
      <w:kern w:val="44"/>
      <w:sz w:val="44"/>
    </w:rPr>
  </w:style>
  <w:style w:type="paragraph" w:styleId="Heading2">
    <w:name w:val="heading 2"/>
    <w:basedOn w:val="Normal"/>
    <w:next w:val="Normal"/>
    <w:semiHidden/>
    <w:unhideWhenUsed/>
    <w:qFormat/>
    <w:pPr>
      <w:keepNext/>
      <w:keepLines/>
      <w:tabs>
        <w:tab w:val="center" w:leader="dot" w:pos="4153"/>
        <w:tab w:val="right" w:pos="8306"/>
      </w:tabs>
      <w:spacing w:beforeLines="0" w:beforeAutospacing="0" w:afterLines="0" w:afterAutospacing="0" w:line="500" w:lineRule="exact"/>
      <w:ind w:firstLine="420" w:firstLineChars="200"/>
      <w:outlineLvl w:val="1"/>
    </w:pPr>
    <w:rPr>
      <w:rFonts w:ascii="Arial" w:eastAsia="黑体" w:hAnsi="Arial"/>
      <w:sz w:val="32"/>
    </w:rPr>
  </w:style>
  <w:style w:type="paragraph" w:styleId="Heading3">
    <w:name w:val="heading 3"/>
    <w:basedOn w:val="Normal"/>
    <w:next w:val="Normal"/>
    <w:semiHidden/>
    <w:unhideWhenUsed/>
    <w:qFormat/>
    <w:pPr>
      <w:keepNext/>
      <w:keepLines/>
      <w:tabs>
        <w:tab w:val="center" w:leader="dot" w:pos="4153"/>
        <w:tab w:val="right" w:pos="8306"/>
      </w:tabs>
      <w:spacing w:beforeLines="0" w:beforeAutospacing="0" w:afterLines="0" w:afterAutospacing="0" w:line="500" w:lineRule="exact"/>
      <w:ind w:firstLine="420" w:firstLineChars="200"/>
      <w:outlineLvl w:val="2"/>
    </w:pPr>
    <w:rPr>
      <w:rFonts w:eastAsia="楷体_GB2312" w:asciiTheme="minorAscii" w:hAnsiTheme="minorAscii"/>
      <w:b/>
      <w:sz w:val="32"/>
    </w:rPr>
  </w:style>
  <w:style w:type="paragraph" w:styleId="Heading4">
    <w:name w:val="heading 4"/>
    <w:basedOn w:val="Normal"/>
    <w:next w:val="Normal"/>
    <w:semiHidden/>
    <w:unhideWhenUsed/>
    <w:qFormat/>
    <w:pPr>
      <w:keepNext/>
      <w:keepLines/>
      <w:tabs>
        <w:tab w:val="center" w:leader="dot" w:pos="4153"/>
        <w:tab w:val="right" w:pos="8306"/>
      </w:tabs>
      <w:spacing w:beforeLines="0" w:beforeAutospacing="0" w:afterLines="0" w:afterAutospacing="0" w:line="500" w:lineRule="exact"/>
      <w:ind w:firstLine="420" w:firstLineChars="200"/>
      <w:outlineLvl w:val="3"/>
    </w:pPr>
    <w:rPr>
      <w:rFonts w:ascii="Arial" w:eastAsia="仿宋_GB2312" w:hAnsi="Arial"/>
      <w:b/>
      <w:sz w:val="32"/>
    </w:rPr>
  </w:style>
  <w:style w:type="character" w:default="1" w:styleId="DefaultParagraphFont">
    <w:name w:val="Default Paragraph Font"/>
    <w:semiHidden/>
    <w:qFormat/>
    <w:rPr>
      <w:rFonts w:ascii="Calibri" w:eastAsia="仿宋_GB2312" w:hAnsi="Calibri" w:cs="仿宋_GB2312"/>
      <w:sz w:val="32"/>
      <w:szCs w:val="32"/>
    </w:rPr>
  </w:style>
  <w:style w:type="table" w:default="1" w:styleId="TableNormal">
    <w:name w:val="Normal Table"/>
    <w:semiHidden/>
    <w:qFormat/>
    <w:tblPr>
      <w:tblCellMar>
        <w:top w:w="0" w:type="dxa"/>
        <w:left w:w="108" w:type="dxa"/>
        <w:bottom w:w="0" w:type="dxa"/>
        <w:right w:w="108" w:type="dxa"/>
      </w:tblCellMar>
    </w:tblPr>
  </w:style>
  <w:style w:type="paragraph" w:styleId="BodyTextIndent">
    <w:name w:val="Body Text Indent"/>
    <w:basedOn w:val="Normal"/>
    <w:qFormat/>
    <w:pPr>
      <w:spacing w:after="120" w:afterLines="0" w:afterAutospacing="0" w:line="560" w:lineRule="exact"/>
      <w:ind w:left="420" w:leftChars="200"/>
    </w:pPr>
  </w:style>
  <w:style w:type="paragraph" w:styleId="Footer">
    <w:name w:val="footer"/>
    <w:basedOn w:val="Normal"/>
    <w:qFormat/>
    <w:pPr>
      <w:tabs>
        <w:tab w:val="center" w:pos="4153"/>
        <w:tab w:val="right" w:pos="8306"/>
      </w:tabs>
      <w:snapToGrid w:val="0"/>
      <w:jc w:val="left"/>
    </w:pPr>
    <w:rPr>
      <w:rFonts w:asciiTheme="minorAscii" w:hAnsiTheme="minorAscii" w:cstheme="minorBidi"/>
      <w:sz w:val="32"/>
      <w:szCs w:val="22"/>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paragraph" w:styleId="BodyTextFirstIndent2">
    <w:name w:val="Body Text First Indent 2"/>
    <w:basedOn w:val="BodyTextIndent"/>
    <w:qFormat/>
    <w:pPr>
      <w:ind w:firstLine="420" w:firstLineChars="200"/>
    </w:pPr>
  </w:style>
  <w:style w:type="paragraph" w:customStyle="1" w:styleId="1">
    <w:name w:val="样式1"/>
    <w:basedOn w:val="Normal"/>
    <w:next w:val="Normal"/>
    <w:qFormat/>
    <w:pPr>
      <w:keepNext/>
      <w:keepLines/>
      <w:tabs>
        <w:tab w:val="center" w:leader="dot" w:pos="4153"/>
        <w:tab w:val="right" w:pos="8306"/>
      </w:tabs>
      <w:spacing w:beforeLines="0" w:afterLines="0" w:line="500" w:lineRule="exact"/>
      <w:ind w:firstLine="880" w:firstLineChars="200"/>
      <w:outlineLvl w:val="1"/>
    </w:pPr>
    <w:rPr>
      <w:rFonts w:ascii="仿宋_GB2312" w:hAnsi="仿宋_GB2312" w:cs="仿宋_GB2312" w:hint="eastAsia"/>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甘河子镇</dc:creator>
  <cp:lastModifiedBy>tqmt513787925</cp:lastModifiedBy>
  <cp:revision>1</cp:revision>
  <dcterms:created xsi:type="dcterms:W3CDTF">2022-01-15T09:39:00Z</dcterms:created>
  <dcterms:modified xsi:type="dcterms:W3CDTF">2022-01-17T05:27:57Z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4362BF06092749DE9EDA51FD4E14DD99</vt:lpwstr>
  </property>
  <property fmtid="{D5CDD505-2E9C-101B-9397-08002B2CF9AE}" pid="3" name="KSOProductBuildVer">
    <vt:lpwstr>2052-11.1.0.11294</vt:lpwstr>
  </property>
</Properties>
</file>