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spacing w:line="360" w:lineRule="auto"/>
        <w:jc w:val="both"/>
        <w:rPr>
          <w:rFonts w:ascii="长城小标宋体" w:eastAsia="长城小标宋体" w:hAnsi="长城小标宋体" w:cs="Times New Roman" w:hint="eastAsia"/>
          <w:b/>
          <w:bCs/>
          <w:color w:val="FF0000"/>
          <w:spacing w:val="0"/>
          <w:kern w:val="0"/>
          <w:sz w:val="52"/>
          <w:szCs w:val="52"/>
          <w:lang w:val="en-US" w:eastAsia="zh-CN" w:bidi="ar-SA"/>
        </w:rPr>
      </w:pPr>
    </w:p>
    <w:p>
      <w:pPr>
        <w:pageBreakBefore w:val="0"/>
        <w:kinsoku/>
        <w:wordWrap/>
        <w:overflowPunct/>
        <w:topLinePunct w:val="0"/>
        <w:autoSpaceDE/>
        <w:autoSpaceDN/>
        <w:bidi w:val="0"/>
        <w:spacing w:line="560" w:lineRule="exact"/>
        <w:jc w:val="center"/>
        <w:rPr>
          <w:rFonts w:ascii="黑体" w:eastAsia="黑体" w:hAnsi="宋体" w:hint="eastAsia"/>
          <w:b/>
          <w:color w:val="FF0000"/>
          <w:sz w:val="52"/>
          <w:szCs w:val="52"/>
          <w:highlight w:val="none"/>
        </w:rPr>
      </w:pPr>
      <w:r>
        <w:rPr>
          <w:rFonts w:ascii="黑体" w:eastAsia="黑体" w:hAnsi="宋体" w:hint="eastAsia"/>
          <w:b/>
          <w:color w:val="FF0000"/>
          <w:sz w:val="52"/>
          <w:szCs w:val="52"/>
          <w:highlight w:val="none"/>
        </w:rPr>
        <w:t>乌 苏 市 审 计 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hAnsi="宋体" w:hint="eastAsia"/>
          <w:b/>
          <w:color w:val="FF0000"/>
          <w:sz w:val="84"/>
          <w:szCs w:val="8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hAnsi="宋体" w:hint="eastAsia"/>
          <w:b/>
          <w:color w:val="FF0000"/>
          <w:sz w:val="84"/>
          <w:szCs w:val="84"/>
          <w:highlight w:val="none"/>
        </w:rPr>
      </w:pPr>
      <w:r>
        <w:rPr>
          <w:rFonts w:ascii="黑体" w:eastAsia="黑体" w:hAnsi="宋体" w:hint="eastAsia"/>
          <w:b/>
          <w:color w:val="FF0000"/>
          <w:sz w:val="84"/>
          <w:szCs w:val="84"/>
          <w:highlight w:val="none"/>
        </w:rPr>
        <w:t>审 计 报 告</w:t>
      </w:r>
    </w:p>
    <w:p>
      <w:pPr>
        <w:pageBreakBefore w:val="0"/>
        <w:tabs>
          <w:tab w:val="left" w:pos="2205"/>
          <w:tab w:val="left" w:pos="7245"/>
        </w:tabs>
        <w:kinsoku/>
        <w:wordWrap/>
        <w:overflowPunct/>
        <w:topLinePunct w:val="0"/>
        <w:autoSpaceDE/>
        <w:autoSpaceDN/>
        <w:bidi w:val="0"/>
        <w:adjustRightInd w:val="0"/>
        <w:spacing w:line="560" w:lineRule="exact"/>
        <w:textAlignment w:val="auto"/>
        <w:rPr>
          <w:rFonts w:ascii="Times New Roman" w:eastAsia="长城小标宋体" w:hAnsi="Times New Roman" w:cs="Times New Roman"/>
          <w:b/>
          <w:color w:val="FF0000"/>
          <w:spacing w:val="200"/>
          <w:kern w:val="0"/>
          <w:sz w:val="72"/>
          <w:szCs w:val="72"/>
          <w:highlight w:val="none"/>
        </w:rPr>
      </w:pPr>
    </w:p>
    <w:p>
      <w:pPr>
        <w:pStyle w:val="Heading3"/>
        <w:rPr>
          <w:rFonts w:hint="eastAsia"/>
        </w:rPr>
      </w:pPr>
    </w:p>
    <w:p>
      <w:pPr>
        <w:keepNext w:val="0"/>
        <w:keepLines w:val="0"/>
        <w:pageBreakBefore w:val="0"/>
        <w:widowControl w:val="0"/>
        <w:kinsoku/>
        <w:wordWrap/>
        <w:overflowPunct/>
        <w:topLinePunct w:val="0"/>
        <w:bidi w:val="0"/>
        <w:spacing w:line="560" w:lineRule="exact"/>
        <w:jc w:val="left"/>
        <w:rPr>
          <w:rFonts w:ascii="仿宋_GB2312" w:hint="eastAsia"/>
          <w:b/>
          <w:bCs/>
          <w:szCs w:val="32"/>
        </w:rPr>
      </w:pPr>
    </w:p>
    <w:p>
      <w:pPr>
        <w:keepNext w:val="0"/>
        <w:keepLines w:val="0"/>
        <w:pageBreakBefore w:val="0"/>
        <w:widowControl w:val="0"/>
        <w:kinsoku/>
        <w:wordWrap/>
        <w:overflowPunct/>
        <w:topLinePunct w:val="0"/>
        <w:bidi w:val="0"/>
        <w:spacing w:line="560" w:lineRule="exact"/>
        <w:jc w:val="left"/>
        <w:rPr>
          <w:rFonts w:ascii="仿宋_GB2312" w:hint="eastAsia"/>
          <w:b/>
          <w:bCs/>
          <w:szCs w:val="32"/>
        </w:rPr>
      </w:pPr>
    </w:p>
    <w:p>
      <w:pPr>
        <w:keepNext w:val="0"/>
        <w:keepLines w:val="0"/>
        <w:pageBreakBefore w:val="0"/>
        <w:widowControl w:val="0"/>
        <w:kinsoku/>
        <w:wordWrap/>
        <w:overflowPunct/>
        <w:topLinePunct w:val="0"/>
        <w:bidi w:val="0"/>
        <w:spacing w:line="560" w:lineRule="exact"/>
        <w:jc w:val="left"/>
        <w:rPr>
          <w:rFonts w:ascii="仿宋_GB2312" w:hint="eastAsia"/>
          <w:b/>
          <w:bCs/>
          <w:szCs w:val="32"/>
        </w:rPr>
      </w:pPr>
    </w:p>
    <w:p>
      <w:pPr>
        <w:keepNext w:val="0"/>
        <w:keepLines w:val="0"/>
        <w:pageBreakBefore w:val="0"/>
        <w:widowControl w:val="0"/>
        <w:kinsoku/>
        <w:wordWrap/>
        <w:overflowPunct/>
        <w:topLinePunct w:val="0"/>
        <w:bidi w:val="0"/>
        <w:spacing w:line="560" w:lineRule="exact"/>
        <w:jc w:val="left"/>
        <w:rPr>
          <w:rFonts w:ascii="仿宋_GB2312" w:hint="eastAsia"/>
          <w:b/>
          <w:bCs/>
          <w:szCs w:val="32"/>
        </w:rPr>
      </w:pPr>
    </w:p>
    <w:p>
      <w:pPr>
        <w:keepNext w:val="0"/>
        <w:keepLines w:val="0"/>
        <w:pageBreakBefore w:val="0"/>
        <w:widowControl w:val="0"/>
        <w:kinsoku/>
        <w:wordWrap/>
        <w:overflowPunct/>
        <w:topLinePunct w:val="0"/>
        <w:bidi w:val="0"/>
        <w:spacing w:line="560" w:lineRule="exact"/>
        <w:jc w:val="left"/>
        <w:rPr>
          <w:rFonts w:ascii="仿宋_GB2312" w:hint="eastAsia"/>
          <w:b/>
          <w:bCs/>
          <w:szCs w:val="32"/>
        </w:rPr>
      </w:pPr>
    </w:p>
    <w:p>
      <w:pPr>
        <w:keepNext w:val="0"/>
        <w:keepLines w:val="0"/>
        <w:pageBreakBefore w:val="0"/>
        <w:widowControl w:val="0"/>
        <w:kinsoku/>
        <w:wordWrap/>
        <w:overflowPunct/>
        <w:topLinePunct w:val="0"/>
        <w:bidi w:val="0"/>
        <w:spacing w:line="560" w:lineRule="exact"/>
        <w:jc w:val="left"/>
        <w:rPr>
          <w:rFonts w:ascii="仿宋_GB2312" w:eastAsia="仿宋_GB2312" w:hint="eastAsia"/>
          <w:b/>
          <w:bCs/>
          <w:szCs w:val="32"/>
          <w:lang w:eastAsia="zh-CN"/>
        </w:rPr>
      </w:pPr>
    </w:p>
    <w:p>
      <w:pPr>
        <w:rPr>
          <w:rFonts w:hint="eastAsia"/>
          <w:lang w:eastAsia="zh-CN"/>
        </w:rPr>
      </w:pPr>
    </w:p>
    <w:p>
      <w:pPr>
        <w:pStyle w:val="Heading3"/>
        <w:rPr>
          <w:rFonts w:hint="eastAsia"/>
        </w:rPr>
      </w:pPr>
    </w:p>
    <w:p>
      <w:pPr>
        <w:pStyle w:val="FootnoteText"/>
        <w:rPr>
          <w:rFonts w:ascii="仿宋_GB2312" w:hint="eastAsia"/>
          <w:b/>
          <w:bCs/>
          <w:szCs w:val="32"/>
        </w:rPr>
      </w:pPr>
    </w:p>
    <w:p>
      <w:pPr>
        <w:pStyle w:val="BodyTextFirstIndent2"/>
        <w:rPr>
          <w:rFonts w:ascii="仿宋_GB2312" w:eastAsia="仿宋_GB2312" w:hAnsi="仿宋_GB2312" w:cs="仿宋_GB2312" w:hint="eastAsia"/>
          <w:sz w:val="32"/>
          <w:szCs w:val="32"/>
          <w:lang w:eastAsia="zh-CN"/>
        </w:rPr>
      </w:pPr>
      <w:r>
        <w:rPr>
          <w:rFonts w:ascii="黑体" w:eastAsia="黑体" w:hAnsi="黑体" w:cs="黑体" w:hint="eastAsia"/>
          <w:sz w:val="32"/>
          <w:szCs w:val="32"/>
          <w:lang w:eastAsia="zh-CN"/>
        </w:rPr>
        <w:t>被审计单位：</w:t>
      </w:r>
      <w:r>
        <w:rPr>
          <w:rFonts w:ascii="Times New Roman" w:eastAsia="仿宋_GB2312" w:hAnsi="Times New Roman" w:cs="Times New Roman" w:hint="eastAsia"/>
          <w:b w:val="0"/>
          <w:bCs w:val="0"/>
          <w:sz w:val="32"/>
          <w:szCs w:val="20"/>
          <w:highlight w:val="none"/>
        </w:rPr>
        <w:t>乌苏市</w:t>
      </w:r>
      <w:r>
        <w:rPr>
          <w:rFonts w:ascii="Times New Roman" w:eastAsia="仿宋_GB2312" w:hAnsi="Times New Roman" w:cs="Times New Roman" w:hint="eastAsia"/>
          <w:b w:val="0"/>
          <w:bCs w:val="0"/>
          <w:sz w:val="32"/>
          <w:szCs w:val="20"/>
          <w:highlight w:val="none"/>
          <w:lang w:val="en-US" w:eastAsia="zh-CN"/>
        </w:rPr>
        <w:t>财政局</w:t>
      </w:r>
    </w:p>
    <w:p>
      <w:pPr>
        <w:pageBreakBefore w:val="0"/>
        <w:tabs>
          <w:tab w:val="left" w:pos="3360"/>
          <w:tab w:val="left" w:pos="3520"/>
          <w:tab w:val="left" w:pos="3680"/>
        </w:tabs>
        <w:kinsoku/>
        <w:wordWrap/>
        <w:overflowPunct/>
        <w:topLinePunct w:val="0"/>
        <w:autoSpaceDE/>
        <w:autoSpaceDN/>
        <w:bidi w:val="0"/>
        <w:adjustRightInd w:val="0"/>
        <w:snapToGrid w:val="0"/>
        <w:spacing w:line="560" w:lineRule="exact"/>
        <w:ind w:left="2560" w:hanging="1920" w:leftChars="200" w:hangingChars="600"/>
        <w:textAlignment w:val="auto"/>
        <w:rPr>
          <w:rFonts w:ascii="Times New Roman" w:eastAsia="仿宋_GB2312" w:hAnsi="Times New Roman" w:cs="Times New Roman" w:hint="eastAsia"/>
          <w:b w:val="0"/>
          <w:bCs w:val="0"/>
          <w:sz w:val="32"/>
          <w:szCs w:val="20"/>
          <w:highlight w:val="none"/>
        </w:rPr>
      </w:pPr>
      <w:r>
        <w:rPr>
          <w:rFonts w:ascii="黑体" w:eastAsia="黑体" w:hAnsi="黑体" w:cs="黑体" w:hint="eastAsia"/>
          <w:sz w:val="32"/>
          <w:szCs w:val="32"/>
          <w:lang w:eastAsia="zh-CN"/>
        </w:rPr>
        <w:t>审</w:t>
      </w:r>
      <w:r>
        <w:rPr>
          <w:rFonts w:ascii="黑体" w:eastAsia="黑体" w:hAnsi="黑体" w:cs="黑体" w:hint="eastAsia"/>
          <w:sz w:val="32"/>
          <w:szCs w:val="32"/>
          <w:lang w:val="en-US" w:eastAsia="zh-CN"/>
        </w:rPr>
        <w:t xml:space="preserve"> </w:t>
      </w:r>
      <w:r>
        <w:rPr>
          <w:rFonts w:ascii="黑体" w:eastAsia="黑体" w:hAnsi="黑体" w:cs="黑体" w:hint="eastAsia"/>
          <w:sz w:val="32"/>
          <w:szCs w:val="32"/>
          <w:lang w:eastAsia="zh-CN"/>
        </w:rPr>
        <w:t>计项</w:t>
      </w:r>
      <w:r>
        <w:rPr>
          <w:rFonts w:ascii="黑体" w:eastAsia="黑体" w:hAnsi="黑体" w:cs="黑体" w:hint="eastAsia"/>
          <w:sz w:val="32"/>
          <w:szCs w:val="32"/>
          <w:lang w:val="en-US" w:eastAsia="zh-CN"/>
        </w:rPr>
        <w:t xml:space="preserve"> </w:t>
      </w:r>
      <w:r>
        <w:rPr>
          <w:rFonts w:ascii="黑体" w:eastAsia="黑体" w:hAnsi="黑体" w:cs="黑体" w:hint="eastAsia"/>
          <w:sz w:val="32"/>
          <w:szCs w:val="32"/>
          <w:lang w:eastAsia="zh-CN"/>
        </w:rPr>
        <w:t>目：</w:t>
      </w:r>
      <w:r>
        <w:rPr>
          <w:rFonts w:ascii="Times New Roman" w:eastAsia="仿宋_GB2312" w:hAnsi="Times New Roman" w:cs="Times New Roman" w:hint="eastAsia"/>
          <w:b w:val="0"/>
          <w:bCs w:val="0"/>
          <w:sz w:val="32"/>
          <w:szCs w:val="20"/>
          <w:highlight w:val="none"/>
        </w:rPr>
        <w:t>乌苏市202</w:t>
      </w:r>
      <w:r>
        <w:rPr>
          <w:rFonts w:ascii="Times New Roman" w:eastAsia="仿宋_GB2312" w:hAnsi="Times New Roman" w:cs="Times New Roman" w:hint="eastAsia"/>
          <w:b w:val="0"/>
          <w:bCs w:val="0"/>
          <w:sz w:val="32"/>
          <w:szCs w:val="20"/>
          <w:highlight w:val="none"/>
          <w:lang w:val="en-US" w:eastAsia="zh-CN"/>
        </w:rPr>
        <w:t>2</w:t>
      </w:r>
      <w:r>
        <w:rPr>
          <w:rFonts w:ascii="Times New Roman" w:eastAsia="仿宋_GB2312" w:hAnsi="Times New Roman" w:cs="Times New Roman" w:hint="eastAsia"/>
          <w:b w:val="0"/>
          <w:bCs w:val="0"/>
          <w:sz w:val="32"/>
          <w:szCs w:val="20"/>
          <w:highlight w:val="none"/>
        </w:rPr>
        <w:t>年度本级预算执行及财政收支</w:t>
      </w:r>
    </w:p>
    <w:p>
      <w:pPr>
        <w:pageBreakBefore w:val="0"/>
        <w:tabs>
          <w:tab w:val="left" w:pos="3360"/>
          <w:tab w:val="left" w:pos="3520"/>
          <w:tab w:val="left" w:pos="3680"/>
        </w:tabs>
        <w:kinsoku/>
        <w:wordWrap/>
        <w:overflowPunct/>
        <w:topLinePunct w:val="0"/>
        <w:autoSpaceDE/>
        <w:autoSpaceDN/>
        <w:bidi w:val="0"/>
        <w:adjustRightInd w:val="0"/>
        <w:snapToGrid w:val="0"/>
        <w:spacing w:line="560" w:lineRule="exact"/>
        <w:ind w:left="2560" w:firstLine="0" w:leftChars="800" w:firstLineChars="0"/>
        <w:textAlignment w:val="auto"/>
        <w:rPr>
          <w:rFonts w:ascii="Times New Roman" w:eastAsia="仿宋_GB2312" w:hAnsi="Times New Roman" w:cs="Times New Roman" w:hint="eastAsia"/>
          <w:b w:val="0"/>
          <w:bCs w:val="0"/>
          <w:sz w:val="32"/>
          <w:szCs w:val="20"/>
          <w:highlight w:val="none"/>
        </w:rPr>
        <w:sectPr>
          <w:footerReference w:type="even" r:id="rId5"/>
          <w:pgSz w:w="11906" w:h="16838"/>
          <w:pgMar w:top="2098" w:right="1531" w:bottom="1984" w:left="1531" w:header="851" w:footer="992" w:gutter="0"/>
          <w:cols w:num="1" w:space="0"/>
          <w:rtlGutter w:val="0"/>
          <w:docGrid w:type="lines" w:linePitch="439" w:charSpace="0"/>
        </w:sectPr>
      </w:pPr>
      <w:r>
        <w:rPr>
          <w:rFonts w:ascii="Times New Roman" w:eastAsia="仿宋_GB2312" w:hAnsi="Times New Roman" w:cs="Times New Roman" w:hint="eastAsia"/>
          <w:b w:val="0"/>
          <w:bCs w:val="0"/>
          <w:sz w:val="32"/>
          <w:szCs w:val="20"/>
          <w:highlight w:val="none"/>
        </w:rPr>
        <w:t>情况审计</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eastAsia="仿宋_GB2312" w:hAnsi="Times New Roman" w:cs="Times New Roman" w:hint="eastAsia"/>
          <w:b w:val="0"/>
          <w:bCs w:val="0"/>
          <w:sz w:val="32"/>
          <w:szCs w:val="20"/>
          <w:highlight w:val="none"/>
        </w:rPr>
      </w:pPr>
      <w:r>
        <w:rPr>
          <w:rFonts w:ascii="Times New Roman" w:eastAsia="仿宋_GB2312" w:hAnsi="Times New Roman" w:cs="Times New Roman" w:hint="eastAsia"/>
          <w:b w:val="0"/>
          <w:bCs w:val="0"/>
          <w:sz w:val="32"/>
          <w:szCs w:val="20"/>
          <w:highlight w:val="none"/>
        </w:rPr>
        <w:t>根据《中华人民共和国审计法》第十</w:t>
      </w:r>
      <w:r>
        <w:rPr>
          <w:rFonts w:cs="Times New Roman" w:hint="eastAsia"/>
          <w:b w:val="0"/>
          <w:bCs w:val="0"/>
          <w:sz w:val="32"/>
          <w:szCs w:val="20"/>
          <w:highlight w:val="none"/>
          <w:lang w:eastAsia="zh-CN"/>
        </w:rPr>
        <w:t>八</w:t>
      </w:r>
      <w:r>
        <w:rPr>
          <w:rFonts w:ascii="Times New Roman" w:eastAsia="仿宋_GB2312" w:hAnsi="Times New Roman" w:cs="Times New Roman" w:hint="eastAsia"/>
          <w:b w:val="0"/>
          <w:bCs w:val="0"/>
          <w:sz w:val="32"/>
          <w:szCs w:val="20"/>
          <w:highlight w:val="none"/>
        </w:rPr>
        <w:t>条的规定及乌苏市202</w:t>
      </w:r>
      <w:r>
        <w:rPr>
          <w:rFonts w:cs="Times New Roman" w:hint="eastAsia"/>
          <w:b w:val="0"/>
          <w:bCs w:val="0"/>
          <w:sz w:val="32"/>
          <w:szCs w:val="20"/>
          <w:highlight w:val="none"/>
          <w:lang w:val="en-US" w:eastAsia="zh-CN"/>
        </w:rPr>
        <w:t>3</w:t>
      </w:r>
      <w:r>
        <w:rPr>
          <w:rFonts w:ascii="Times New Roman" w:eastAsia="仿宋_GB2312" w:hAnsi="Times New Roman" w:cs="Times New Roman" w:hint="eastAsia"/>
          <w:b w:val="0"/>
          <w:bCs w:val="0"/>
          <w:sz w:val="32"/>
          <w:szCs w:val="20"/>
          <w:highlight w:val="none"/>
        </w:rPr>
        <w:t>年度审计项目计划安排</w:t>
      </w:r>
      <w:r>
        <w:rPr>
          <w:rFonts w:cs="Times New Roman" w:hint="eastAsia"/>
          <w:b w:val="0"/>
          <w:bCs w:val="0"/>
          <w:sz w:val="32"/>
          <w:szCs w:val="20"/>
          <w:highlight w:val="none"/>
          <w:lang w:eastAsia="zh-CN"/>
        </w:rPr>
        <w:t>，</w:t>
      </w:r>
      <w:r>
        <w:rPr>
          <w:rFonts w:ascii="Times New Roman" w:eastAsia="仿宋_GB2312" w:hAnsi="Times New Roman" w:cs="Times New Roman" w:hint="eastAsia"/>
          <w:b w:val="0"/>
          <w:bCs w:val="0"/>
          <w:sz w:val="32"/>
          <w:szCs w:val="20"/>
          <w:highlight w:val="none"/>
        </w:rPr>
        <w:t>我局派出审计组自202</w:t>
      </w:r>
      <w:r>
        <w:rPr>
          <w:rFonts w:cs="Times New Roman" w:hint="eastAsia"/>
          <w:b w:val="0"/>
          <w:bCs w:val="0"/>
          <w:sz w:val="32"/>
          <w:szCs w:val="20"/>
          <w:highlight w:val="none"/>
          <w:lang w:val="en-US" w:eastAsia="zh-CN"/>
        </w:rPr>
        <w:t>3</w:t>
      </w:r>
      <w:r>
        <w:rPr>
          <w:rFonts w:ascii="Times New Roman" w:eastAsia="仿宋_GB2312" w:hAnsi="Times New Roman" w:cs="Times New Roman" w:hint="eastAsia"/>
          <w:b w:val="0"/>
          <w:bCs w:val="0"/>
          <w:sz w:val="32"/>
          <w:szCs w:val="20"/>
          <w:highlight w:val="none"/>
        </w:rPr>
        <w:t>年</w:t>
      </w:r>
      <w:r>
        <w:rPr>
          <w:rFonts w:ascii="Times New Roman" w:eastAsia="仿宋_GB2312" w:hAnsi="Times New Roman" w:cs="Times New Roman" w:hint="eastAsia"/>
          <w:b w:val="0"/>
          <w:bCs w:val="0"/>
          <w:sz w:val="32"/>
          <w:szCs w:val="20"/>
          <w:highlight w:val="none"/>
          <w:lang w:val="en-US" w:eastAsia="zh-CN"/>
        </w:rPr>
        <w:t>4</w:t>
      </w:r>
      <w:r>
        <w:rPr>
          <w:rFonts w:ascii="Times New Roman" w:eastAsia="仿宋_GB2312" w:hAnsi="Times New Roman" w:cs="Times New Roman" w:hint="eastAsia"/>
          <w:b w:val="0"/>
          <w:bCs w:val="0"/>
          <w:sz w:val="32"/>
          <w:szCs w:val="20"/>
          <w:highlight w:val="none"/>
        </w:rPr>
        <w:t>月</w:t>
      </w:r>
      <w:r>
        <w:rPr>
          <w:rFonts w:ascii="Times New Roman" w:eastAsia="仿宋_GB2312" w:hAnsi="Times New Roman" w:cs="Times New Roman" w:hint="eastAsia"/>
          <w:b w:val="0"/>
          <w:bCs w:val="0"/>
          <w:sz w:val="32"/>
          <w:szCs w:val="20"/>
          <w:highlight w:val="none"/>
          <w:lang w:val="en-US" w:eastAsia="zh-CN"/>
        </w:rPr>
        <w:t>10</w:t>
      </w:r>
      <w:r>
        <w:rPr>
          <w:rFonts w:ascii="Times New Roman" w:eastAsia="仿宋_GB2312" w:hAnsi="Times New Roman" w:cs="Times New Roman" w:hint="eastAsia"/>
          <w:b w:val="0"/>
          <w:bCs w:val="0"/>
          <w:sz w:val="32"/>
          <w:szCs w:val="20"/>
          <w:highlight w:val="none"/>
        </w:rPr>
        <w:t>日至</w:t>
      </w:r>
      <w:r>
        <w:rPr>
          <w:rFonts w:ascii="Times New Roman" w:eastAsia="仿宋_GB2312" w:hAnsi="Times New Roman" w:cs="Times New Roman" w:hint="eastAsia"/>
          <w:b w:val="0"/>
          <w:bCs w:val="0"/>
          <w:sz w:val="32"/>
          <w:szCs w:val="20"/>
          <w:highlight w:val="none"/>
          <w:lang w:val="en-US" w:eastAsia="zh-CN"/>
        </w:rPr>
        <w:t>5</w:t>
      </w:r>
      <w:r>
        <w:rPr>
          <w:rFonts w:ascii="Times New Roman" w:eastAsia="仿宋_GB2312" w:hAnsi="Times New Roman" w:cs="Times New Roman" w:hint="eastAsia"/>
          <w:b w:val="0"/>
          <w:bCs w:val="0"/>
          <w:sz w:val="32"/>
          <w:szCs w:val="20"/>
          <w:highlight w:val="none"/>
        </w:rPr>
        <w:t>月</w:t>
      </w:r>
      <w:r>
        <w:rPr>
          <w:rFonts w:ascii="Times New Roman" w:eastAsia="仿宋_GB2312" w:hAnsi="Times New Roman" w:cs="Times New Roman" w:hint="eastAsia"/>
          <w:b w:val="0"/>
          <w:bCs w:val="0"/>
          <w:sz w:val="32"/>
          <w:szCs w:val="20"/>
          <w:highlight w:val="none"/>
          <w:lang w:val="en-US" w:eastAsia="zh-CN"/>
        </w:rPr>
        <w:t>19</w:t>
      </w:r>
      <w:r>
        <w:rPr>
          <w:rFonts w:ascii="Times New Roman" w:eastAsia="仿宋_GB2312" w:hAnsi="Times New Roman" w:cs="Times New Roman" w:hint="eastAsia"/>
          <w:b w:val="0"/>
          <w:bCs w:val="0"/>
          <w:sz w:val="32"/>
          <w:szCs w:val="20"/>
          <w:highlight w:val="none"/>
        </w:rPr>
        <w:t>日</w:t>
      </w:r>
      <w:r>
        <w:rPr>
          <w:rFonts w:cs="Times New Roman" w:hint="eastAsia"/>
          <w:b w:val="0"/>
          <w:bCs w:val="0"/>
          <w:sz w:val="32"/>
          <w:szCs w:val="20"/>
          <w:highlight w:val="none"/>
          <w:lang w:eastAsia="zh-CN"/>
        </w:rPr>
        <w:t>，</w:t>
      </w:r>
      <w:r>
        <w:rPr>
          <w:rFonts w:ascii="Times New Roman" w:eastAsia="仿宋_GB2312" w:hAnsi="Times New Roman" w:cs="Times New Roman" w:hint="eastAsia"/>
          <w:b w:val="0"/>
          <w:bCs w:val="0"/>
          <w:sz w:val="32"/>
          <w:szCs w:val="20"/>
          <w:highlight w:val="none"/>
        </w:rPr>
        <w:t>对乌苏市202</w:t>
      </w:r>
      <w:r>
        <w:rPr>
          <w:rFonts w:ascii="Times New Roman" w:eastAsia="仿宋_GB2312" w:hAnsi="Times New Roman" w:cs="Times New Roman" w:hint="eastAsia"/>
          <w:b w:val="0"/>
          <w:bCs w:val="0"/>
          <w:sz w:val="32"/>
          <w:szCs w:val="20"/>
          <w:highlight w:val="none"/>
          <w:lang w:val="en-US" w:eastAsia="zh-CN"/>
        </w:rPr>
        <w:t>2</w:t>
      </w:r>
      <w:r>
        <w:rPr>
          <w:rFonts w:ascii="Times New Roman" w:eastAsia="仿宋_GB2312" w:hAnsi="Times New Roman" w:cs="Times New Roman" w:hint="eastAsia"/>
          <w:b w:val="0"/>
          <w:bCs w:val="0"/>
          <w:sz w:val="32"/>
          <w:szCs w:val="20"/>
          <w:highlight w:val="none"/>
        </w:rPr>
        <w:t>年度本级预算执行及财政收支情况进行了审计。</w:t>
      </w:r>
      <w:r>
        <w:rPr>
          <w:rFonts w:cs="Times New Roman" w:hint="eastAsia"/>
          <w:b w:val="0"/>
          <w:bCs w:val="0"/>
          <w:sz w:val="32"/>
          <w:szCs w:val="20"/>
          <w:highlight w:val="none"/>
          <w:lang w:eastAsia="zh-CN"/>
        </w:rPr>
        <w:t>乌苏</w:t>
      </w:r>
      <w:r>
        <w:rPr>
          <w:rFonts w:ascii="Times New Roman" w:eastAsia="仿宋_GB2312" w:hAnsi="Times New Roman" w:cs="Times New Roman" w:hint="eastAsia"/>
          <w:b w:val="0"/>
          <w:bCs w:val="0"/>
          <w:sz w:val="32"/>
          <w:szCs w:val="20"/>
          <w:highlight w:val="none"/>
        </w:rPr>
        <w:t>市财政局</w:t>
      </w:r>
      <w:r>
        <w:rPr>
          <w:rFonts w:cs="Times New Roman" w:hint="eastAsia"/>
          <w:b w:val="0"/>
          <w:bCs w:val="0"/>
          <w:sz w:val="32"/>
          <w:szCs w:val="20"/>
          <w:highlight w:val="none"/>
          <w:lang w:eastAsia="zh-CN"/>
        </w:rPr>
        <w:t>（以下简称市财政局）</w:t>
      </w:r>
      <w:r>
        <w:rPr>
          <w:rFonts w:ascii="Times New Roman" w:eastAsia="仿宋_GB2312" w:hAnsi="Times New Roman" w:cs="Times New Roman" w:hint="eastAsia"/>
          <w:b w:val="0"/>
          <w:bCs w:val="0"/>
          <w:sz w:val="32"/>
          <w:szCs w:val="20"/>
          <w:highlight w:val="none"/>
        </w:rPr>
        <w:t>对其提供的财务会计资料以及其他相关资料的真实性和完整性负责</w:t>
      </w:r>
      <w:r>
        <w:rPr>
          <w:rFonts w:cs="Times New Roman" w:hint="eastAsia"/>
          <w:b w:val="0"/>
          <w:bCs w:val="0"/>
          <w:sz w:val="32"/>
          <w:szCs w:val="20"/>
          <w:highlight w:val="none"/>
          <w:lang w:eastAsia="zh-CN"/>
        </w:rPr>
        <w:t>，</w:t>
      </w:r>
      <w:r>
        <w:rPr>
          <w:rFonts w:ascii="Times New Roman" w:eastAsia="仿宋_GB2312" w:hAnsi="Times New Roman" w:cs="Times New Roman" w:hint="eastAsia"/>
          <w:b w:val="0"/>
          <w:bCs w:val="0"/>
          <w:sz w:val="32"/>
          <w:szCs w:val="20"/>
          <w:highlight w:val="none"/>
        </w:rPr>
        <w:t>并进行了承诺。</w:t>
      </w:r>
      <w:r>
        <w:rPr>
          <w:rFonts w:cs="Times New Roman" w:hint="eastAsia"/>
          <w:b w:val="0"/>
          <w:bCs w:val="0"/>
          <w:sz w:val="32"/>
          <w:szCs w:val="20"/>
          <w:highlight w:val="none"/>
          <w:lang w:eastAsia="zh-CN"/>
        </w:rPr>
        <w:t>乌苏</w:t>
      </w:r>
      <w:r>
        <w:rPr>
          <w:rFonts w:ascii="Times New Roman" w:eastAsia="仿宋_GB2312" w:hAnsi="Times New Roman" w:cs="Times New Roman" w:hint="eastAsia"/>
          <w:b w:val="0"/>
          <w:bCs w:val="0"/>
          <w:sz w:val="32"/>
          <w:szCs w:val="20"/>
          <w:highlight w:val="none"/>
        </w:rPr>
        <w:t>市审计局的职责是依法独立实施审计并出具审计报告。</w:t>
      </w:r>
    </w:p>
    <w:p>
      <w:pPr>
        <w:keepNext w:val="0"/>
        <w:keepLines w:val="0"/>
        <w:pageBreakBefore w:val="0"/>
        <w:widowControl w:val="0"/>
        <w:kinsoku/>
        <w:wordWrap/>
        <w:overflowPunct/>
        <w:topLinePunct w:val="0"/>
        <w:autoSpaceDE/>
        <w:autoSpaceDN/>
        <w:bidi w:val="0"/>
        <w:spacing w:line="560" w:lineRule="exact"/>
        <w:ind w:firstLine="640" w:firstLineChars="200"/>
        <w:rPr>
          <w:rFonts w:ascii="黑体" w:eastAsia="黑体" w:hAnsi="黑体" w:cs="黑体" w:hint="eastAsia"/>
          <w:b w:val="0"/>
          <w:bCs w:val="0"/>
          <w:sz w:val="32"/>
          <w:szCs w:val="20"/>
          <w:highlight w:val="none"/>
        </w:rPr>
      </w:pPr>
      <w:r>
        <w:rPr>
          <w:rFonts w:ascii="黑体" w:eastAsia="黑体" w:hAnsi="黑体" w:cs="黑体" w:hint="eastAsia"/>
          <w:b w:val="0"/>
          <w:bCs w:val="0"/>
          <w:sz w:val="32"/>
          <w:szCs w:val="20"/>
          <w:highlight w:val="none"/>
        </w:rPr>
        <w:t>一、基本情况</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eastAsia="仿宋_GB2312" w:hAnsi="Times New Roman" w:cs="Times New Roman" w:hint="eastAsia"/>
          <w:b w:val="0"/>
          <w:bCs w:val="0"/>
          <w:sz w:val="32"/>
          <w:szCs w:val="20"/>
          <w:highlight w:val="none"/>
          <w:lang w:val="zh-CN"/>
        </w:rPr>
      </w:pPr>
      <w:r>
        <w:rPr>
          <w:rFonts w:ascii="Times New Roman" w:eastAsia="仿宋_GB2312" w:hAnsi="Times New Roman" w:cs="Times New Roman" w:hint="eastAsia"/>
          <w:b w:val="0"/>
          <w:bCs w:val="0"/>
          <w:sz w:val="32"/>
          <w:szCs w:val="20"/>
          <w:highlight w:val="none"/>
          <w:lang w:val="zh-CN"/>
        </w:rPr>
        <w:t>乌苏市位于天山北麓、准噶尔盆地西南缘</w:t>
      </w:r>
      <w:r>
        <w:rPr>
          <w:rFonts w:cs="Times New Roman" w:hint="eastAsia"/>
          <w:b w:val="0"/>
          <w:bCs w:val="0"/>
          <w:sz w:val="32"/>
          <w:szCs w:val="20"/>
          <w:highlight w:val="none"/>
          <w:lang w:val="zh-CN"/>
        </w:rPr>
        <w:t>，</w:t>
      </w:r>
      <w:r>
        <w:rPr>
          <w:rFonts w:ascii="Times New Roman" w:eastAsia="仿宋_GB2312" w:hAnsi="Times New Roman" w:cs="Times New Roman" w:hint="eastAsia"/>
          <w:b w:val="0"/>
          <w:bCs w:val="0"/>
          <w:sz w:val="32"/>
          <w:szCs w:val="20"/>
          <w:highlight w:val="none"/>
          <w:lang w:val="zh-CN"/>
        </w:rPr>
        <w:t>距离首府乌鲁木齐市260公里。全市区域总面积2.07万平方公里</w:t>
      </w:r>
      <w:r>
        <w:rPr>
          <w:rFonts w:cs="Times New Roman" w:hint="eastAsia"/>
          <w:b w:val="0"/>
          <w:bCs w:val="0"/>
          <w:sz w:val="32"/>
          <w:szCs w:val="20"/>
          <w:highlight w:val="none"/>
          <w:lang w:val="zh-CN"/>
        </w:rPr>
        <w:t>，</w:t>
      </w:r>
      <w:r>
        <w:rPr>
          <w:rFonts w:ascii="Times New Roman" w:eastAsia="仿宋_GB2312" w:hAnsi="Times New Roman" w:cs="Times New Roman" w:hint="eastAsia"/>
          <w:b w:val="0"/>
          <w:bCs w:val="0"/>
          <w:sz w:val="32"/>
          <w:szCs w:val="20"/>
          <w:highlight w:val="none"/>
          <w:lang w:val="zh-CN"/>
        </w:rPr>
        <w:t>辖10镇、7乡、1</w:t>
      </w:r>
      <w:r>
        <w:rPr>
          <w:rFonts w:ascii="Times New Roman" w:eastAsia="仿宋_GB2312" w:hAnsi="Times New Roman" w:cs="Times New Roman" w:hint="eastAsia"/>
          <w:b w:val="0"/>
          <w:bCs w:val="0"/>
          <w:sz w:val="32"/>
          <w:szCs w:val="20"/>
          <w:highlight w:val="none"/>
        </w:rPr>
        <w:t>59</w:t>
      </w:r>
      <w:r>
        <w:rPr>
          <w:rFonts w:ascii="Times New Roman" w:eastAsia="仿宋_GB2312" w:hAnsi="Times New Roman" w:cs="Times New Roman" w:hint="eastAsia"/>
          <w:b w:val="0"/>
          <w:bCs w:val="0"/>
          <w:sz w:val="32"/>
          <w:szCs w:val="20"/>
          <w:highlight w:val="none"/>
          <w:lang w:val="zh-CN"/>
        </w:rPr>
        <w:t>个村队</w:t>
      </w:r>
      <w:r>
        <w:rPr>
          <w:rFonts w:cs="Times New Roman" w:hint="eastAsia"/>
          <w:b w:val="0"/>
          <w:bCs w:val="0"/>
          <w:sz w:val="32"/>
          <w:szCs w:val="20"/>
          <w:highlight w:val="none"/>
          <w:lang w:val="zh-CN"/>
        </w:rPr>
        <w:t>，</w:t>
      </w:r>
      <w:r>
        <w:rPr>
          <w:rFonts w:ascii="Times New Roman" w:eastAsia="仿宋_GB2312" w:hAnsi="Times New Roman" w:cs="Times New Roman" w:hint="eastAsia"/>
          <w:b w:val="0"/>
          <w:bCs w:val="0"/>
          <w:sz w:val="32"/>
          <w:szCs w:val="20"/>
          <w:highlight w:val="none"/>
          <w:lang w:val="zh-CN"/>
        </w:rPr>
        <w:t>5个街道办事处。</w:t>
      </w:r>
    </w:p>
    <w:p>
      <w:pPr>
        <w:pStyle w:val="Heading1"/>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Times New Roman" w:eastAsia="仿宋_GB2312" w:hAnsi="Times New Roman" w:cs="Times New Roman" w:hint="eastAsia"/>
          <w:b w:val="0"/>
          <w:bCs w:val="0"/>
          <w:sz w:val="32"/>
          <w:szCs w:val="20"/>
          <w:highlight w:val="none"/>
          <w:lang w:val="zh-CN"/>
        </w:rPr>
      </w:pPr>
      <w:r>
        <w:rPr>
          <w:rFonts w:ascii="Times New Roman" w:eastAsia="仿宋_GB2312" w:hAnsi="Times New Roman" w:cs="Times New Roman" w:hint="eastAsia"/>
          <w:b w:val="0"/>
          <w:bCs w:val="0"/>
          <w:sz w:val="32"/>
          <w:szCs w:val="20"/>
          <w:highlight w:val="none"/>
          <w:lang w:val="zh-CN"/>
        </w:rPr>
        <w:t>2022年全市共有预算单位158个，其中：市直单位101个，乡镇17个，乡镇学校20个，乡镇卫生院20个；年末财政供养人员共有12609人，其中：在职7911人，离休12人，退休4686人。</w:t>
      </w:r>
    </w:p>
    <w:p>
      <w:pPr>
        <w:pStyle w:val="Heading1"/>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rPr>
          <w:rFonts w:ascii="黑体" w:eastAsia="黑体" w:hAnsi="黑体" w:cs="黑体" w:hint="eastAsia"/>
          <w:sz w:val="32"/>
          <w:szCs w:val="32"/>
        </w:rPr>
      </w:pPr>
      <w:r>
        <w:rPr>
          <w:rFonts w:ascii="黑体" w:eastAsia="黑体" w:hAnsi="黑体" w:cs="黑体" w:hint="eastAsia"/>
          <w:b w:val="0"/>
          <w:kern w:val="2"/>
          <w:sz w:val="32"/>
          <w:szCs w:val="32"/>
        </w:rPr>
        <w:t>二、202</w:t>
      </w:r>
      <w:r>
        <w:rPr>
          <w:rFonts w:ascii="黑体" w:eastAsia="黑体" w:hAnsi="黑体" w:cs="黑体" w:hint="eastAsia"/>
          <w:b w:val="0"/>
          <w:kern w:val="2"/>
          <w:sz w:val="32"/>
          <w:szCs w:val="32"/>
          <w:lang w:val="en-US" w:eastAsia="zh-CN"/>
        </w:rPr>
        <w:t>2</w:t>
      </w:r>
      <w:r>
        <w:rPr>
          <w:rFonts w:ascii="黑体" w:eastAsia="黑体" w:hAnsi="黑体" w:cs="黑体" w:hint="eastAsia"/>
          <w:b w:val="0"/>
          <w:kern w:val="2"/>
          <w:sz w:val="32"/>
          <w:szCs w:val="32"/>
        </w:rPr>
        <w:t>年预算执行情况</w:t>
      </w:r>
    </w:p>
    <w:p>
      <w:pPr>
        <w:keepNext w:val="0"/>
        <w:keepLines w:val="0"/>
        <w:pageBreakBefore w:val="0"/>
        <w:widowControl w:val="0"/>
        <w:kinsoku/>
        <w:wordWrap/>
        <w:overflowPunct/>
        <w:topLinePunct w:val="0"/>
        <w:autoSpaceDE/>
        <w:autoSpaceDN/>
        <w:bidi w:val="0"/>
        <w:spacing w:line="560" w:lineRule="exact"/>
        <w:ind w:firstLine="640" w:firstLineChars="200"/>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（一）财政收入情况</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hint="eastAsia"/>
          <w:b/>
          <w:sz w:val="32"/>
          <w:szCs w:val="22"/>
          <w:lang w:val="en-US" w:eastAsia="zh-CN"/>
        </w:rPr>
      </w:pPr>
      <w:r>
        <w:rPr>
          <w:rFonts w:ascii="仿宋_GB2312" w:eastAsia="仿宋_GB2312" w:hint="eastAsia"/>
          <w:b/>
          <w:sz w:val="32"/>
          <w:szCs w:val="22"/>
          <w:lang w:val="en-US" w:eastAsia="zh-CN"/>
        </w:rPr>
        <w:t>1</w:t>
      </w:r>
      <w:r>
        <w:rPr>
          <w:rFonts w:ascii="仿宋_GB2312" w:hint="eastAsia"/>
          <w:b/>
          <w:sz w:val="32"/>
          <w:szCs w:val="22"/>
          <w:lang w:val="en-US" w:eastAsia="zh-CN"/>
        </w:rPr>
        <w:t>.</w:t>
      </w:r>
      <w:r>
        <w:rPr>
          <w:rFonts w:ascii="仿宋_GB2312" w:eastAsia="仿宋_GB2312" w:hint="eastAsia"/>
          <w:b/>
          <w:sz w:val="32"/>
          <w:szCs w:val="22"/>
          <w:lang w:val="en-US" w:eastAsia="zh-CN"/>
        </w:rPr>
        <w:t>地方财政收入完成情况</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eastAsia="仿宋_GB2312" w:hAnsi="Times New Roman" w:cs="Times New Roman" w:hint="eastAsia"/>
          <w:b w:val="0"/>
          <w:bCs w:val="0"/>
          <w:sz w:val="32"/>
          <w:szCs w:val="20"/>
          <w:highlight w:val="none"/>
          <w:lang w:val="en-US" w:eastAsia="zh-CN"/>
        </w:rPr>
      </w:pPr>
      <w:r>
        <w:rPr>
          <w:rFonts w:ascii="Times New Roman" w:eastAsia="仿宋_GB2312" w:hAnsi="Times New Roman" w:cs="Times New Roman" w:hint="eastAsia"/>
          <w:b w:val="0"/>
          <w:bCs w:val="0"/>
          <w:sz w:val="32"/>
          <w:szCs w:val="20"/>
          <w:highlight w:val="none"/>
          <w:lang w:val="en-US" w:eastAsia="zh-CN"/>
        </w:rPr>
        <w:t>2022年完成地方财政收入17</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37</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较上年增收3</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6</w:t>
      </w:r>
      <w:r>
        <w:rPr>
          <w:rFonts w:cs="Times New Roman" w:hint="eastAsia"/>
          <w:b w:val="0"/>
          <w:bCs w:val="0"/>
          <w:sz w:val="32"/>
          <w:szCs w:val="20"/>
          <w:highlight w:val="none"/>
          <w:lang w:val="en-US" w:eastAsia="zh-CN"/>
        </w:rPr>
        <w:t>8亿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增长26.9%</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完成预算的62.6%。其中：一般公共预算收入9</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92</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较上年减收1362万元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下降1.4%</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完成预算的92.2%；政府性基金收入完成7</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4</w:t>
      </w:r>
      <w:r>
        <w:rPr>
          <w:rFonts w:cs="Times New Roman" w:hint="eastAsia"/>
          <w:b w:val="0"/>
          <w:bCs w:val="0"/>
          <w:sz w:val="32"/>
          <w:szCs w:val="20"/>
          <w:highlight w:val="none"/>
          <w:lang w:val="en-US" w:eastAsia="zh-CN"/>
        </w:rPr>
        <w:t>5亿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较上年增收3</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81</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增长105%</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完成预算的43.8%；国有资本经营预算收入194万元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完成预算的192%。</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hint="eastAsia"/>
          <w:b/>
          <w:sz w:val="32"/>
          <w:szCs w:val="22"/>
          <w:lang w:val="en-US" w:eastAsia="zh-CN"/>
        </w:rPr>
      </w:pPr>
      <w:r>
        <w:rPr>
          <w:rFonts w:ascii="仿宋_GB2312" w:eastAsia="仿宋_GB2312" w:hint="eastAsia"/>
          <w:b/>
          <w:sz w:val="32"/>
          <w:szCs w:val="22"/>
          <w:lang w:val="en-US" w:eastAsia="zh-CN"/>
        </w:rPr>
        <w:t>2</w:t>
      </w:r>
      <w:r>
        <w:rPr>
          <w:rFonts w:ascii="仿宋_GB2312" w:hint="eastAsia"/>
          <w:b/>
          <w:sz w:val="32"/>
          <w:szCs w:val="22"/>
          <w:lang w:val="en-US" w:eastAsia="zh-CN"/>
        </w:rPr>
        <w:t>.</w:t>
      </w:r>
      <w:r>
        <w:rPr>
          <w:rFonts w:ascii="仿宋_GB2312" w:eastAsia="仿宋_GB2312" w:hint="eastAsia"/>
          <w:b/>
          <w:sz w:val="32"/>
          <w:szCs w:val="22"/>
          <w:lang w:val="en-US" w:eastAsia="zh-CN"/>
        </w:rPr>
        <w:t>上级补助收入情况</w:t>
      </w:r>
    </w:p>
    <w:p>
      <w:pPr>
        <w:keepNext w:val="0"/>
        <w:keepLines w:val="0"/>
        <w:pageBreakBefore w:val="0"/>
        <w:kinsoku/>
        <w:wordWrap/>
        <w:overflowPunct/>
        <w:topLinePunct w:val="0"/>
        <w:autoSpaceDE/>
        <w:autoSpaceDN/>
        <w:bidi w:val="0"/>
        <w:spacing w:line="560" w:lineRule="exact"/>
        <w:ind w:firstLine="640" w:firstLineChars="200"/>
        <w:rPr>
          <w:rFonts w:ascii="Times New Roman" w:eastAsia="仿宋_GB2312" w:hAnsi="Times New Roman" w:cs="Times New Roman" w:hint="eastAsia"/>
          <w:b w:val="0"/>
          <w:bCs w:val="0"/>
          <w:sz w:val="32"/>
          <w:szCs w:val="20"/>
          <w:highlight w:val="none"/>
          <w:lang w:val="en-US" w:eastAsia="zh-CN"/>
        </w:rPr>
      </w:pPr>
      <w:r>
        <w:rPr>
          <w:rFonts w:ascii="Times New Roman" w:eastAsia="仿宋_GB2312" w:hAnsi="Times New Roman" w:cs="Times New Roman" w:hint="eastAsia"/>
          <w:b w:val="0"/>
          <w:bCs w:val="0"/>
          <w:sz w:val="32"/>
          <w:szCs w:val="20"/>
          <w:highlight w:val="none"/>
          <w:lang w:val="en-US" w:eastAsia="zh-CN"/>
        </w:rPr>
        <w:t>2022年上级补助收入2</w:t>
      </w:r>
      <w:r>
        <w:rPr>
          <w:rFonts w:cs="Times New Roman" w:hint="eastAsia"/>
          <w:b w:val="0"/>
          <w:bCs w:val="0"/>
          <w:sz w:val="32"/>
          <w:szCs w:val="20"/>
          <w:highlight w:val="none"/>
          <w:lang w:val="en-US" w:eastAsia="zh-CN"/>
        </w:rPr>
        <w:t>1.00亿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其中：一般公共预算转移支付收入20</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93</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sz w:val="32"/>
          <w:szCs w:val="20"/>
          <w:highlight w:val="none"/>
          <w:lang w:val="en-US" w:eastAsia="zh-CN"/>
        </w:rPr>
        <w:t>元（财力性补助10</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4</w:t>
      </w:r>
      <w:r>
        <w:rPr>
          <w:rFonts w:cs="Times New Roman" w:hint="eastAsia"/>
          <w:b w:val="0"/>
          <w:bCs w:val="0"/>
          <w:sz w:val="32"/>
          <w:szCs w:val="20"/>
          <w:highlight w:val="none"/>
          <w:lang w:val="en-US" w:eastAsia="zh-CN"/>
        </w:rPr>
        <w:t>1亿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专项用途转移支付收入10</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5</w:t>
      </w:r>
      <w:r>
        <w:rPr>
          <w:rFonts w:cs="Times New Roman" w:hint="eastAsia"/>
          <w:b w:val="0"/>
          <w:bCs w:val="0"/>
          <w:sz w:val="32"/>
          <w:szCs w:val="20"/>
          <w:highlight w:val="none"/>
          <w:lang w:val="en-US" w:eastAsia="zh-CN"/>
        </w:rPr>
        <w:t>2亿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政府性基金专项转移支付收入642万元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国有资本经营预算上级补助收入6万元。</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hint="eastAsia"/>
          <w:b/>
          <w:sz w:val="32"/>
          <w:szCs w:val="22"/>
          <w:lang w:val="en-US" w:eastAsia="zh-CN"/>
        </w:rPr>
      </w:pPr>
      <w:r>
        <w:rPr>
          <w:rFonts w:ascii="仿宋_GB2312" w:eastAsia="仿宋_GB2312" w:hint="eastAsia"/>
          <w:b/>
          <w:sz w:val="32"/>
          <w:szCs w:val="22"/>
          <w:lang w:val="en-US" w:eastAsia="zh-CN"/>
        </w:rPr>
        <w:t>3</w:t>
      </w:r>
      <w:r>
        <w:rPr>
          <w:rFonts w:ascii="仿宋_GB2312" w:hint="eastAsia"/>
          <w:b/>
          <w:sz w:val="32"/>
          <w:szCs w:val="22"/>
          <w:lang w:val="en-US" w:eastAsia="zh-CN"/>
        </w:rPr>
        <w:t>.</w:t>
      </w:r>
      <w:r>
        <w:rPr>
          <w:rFonts w:ascii="仿宋_GB2312" w:eastAsia="仿宋_GB2312" w:hint="eastAsia"/>
          <w:b/>
          <w:sz w:val="32"/>
          <w:szCs w:val="22"/>
          <w:lang w:val="en-US" w:eastAsia="zh-CN"/>
        </w:rPr>
        <w:t>政府债券资金收入情况</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 w:eastAsia="仿宋" w:hAnsi="仿宋" w:cs="仿宋" w:hint="eastAsia"/>
          <w:sz w:val="32"/>
          <w:szCs w:val="32"/>
          <w:highlight w:val="none"/>
        </w:rPr>
      </w:pPr>
      <w:r>
        <w:rPr>
          <w:rFonts w:ascii="Times New Roman" w:eastAsia="仿宋_GB2312" w:hAnsi="Times New Roman" w:cs="Times New Roman" w:hint="eastAsia"/>
          <w:b w:val="0"/>
          <w:bCs w:val="0"/>
          <w:sz w:val="32"/>
          <w:szCs w:val="20"/>
          <w:highlight w:val="none"/>
          <w:lang w:val="en-US" w:eastAsia="zh-CN"/>
        </w:rPr>
        <w:t>2022年</w:t>
      </w:r>
      <w:r>
        <w:rPr>
          <w:rFonts w:cs="Times New Roman" w:hint="eastAsia"/>
          <w:b w:val="0"/>
          <w:bCs w:val="0"/>
          <w:sz w:val="32"/>
          <w:szCs w:val="20"/>
          <w:highlight w:val="none"/>
          <w:lang w:val="en-US" w:eastAsia="zh-CN"/>
        </w:rPr>
        <w:t>乌苏</w:t>
      </w:r>
      <w:r>
        <w:rPr>
          <w:rFonts w:ascii="Times New Roman" w:eastAsia="仿宋_GB2312" w:hAnsi="Times New Roman" w:cs="Times New Roman" w:hint="eastAsia"/>
          <w:b w:val="0"/>
          <w:bCs w:val="0"/>
          <w:sz w:val="32"/>
          <w:szCs w:val="20"/>
          <w:highlight w:val="none"/>
          <w:lang w:val="en-US" w:eastAsia="zh-CN"/>
        </w:rPr>
        <w:t>市债务转贷收入27</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52</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其中新增一般债券4</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62</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新增专项债券22</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9</w:t>
      </w:r>
      <w:r>
        <w:rPr>
          <w:rFonts w:cs="Times New Roman" w:hint="eastAsia"/>
          <w:b w:val="0"/>
          <w:bCs w:val="0"/>
          <w:sz w:val="32"/>
          <w:szCs w:val="20"/>
          <w:highlight w:val="none"/>
          <w:lang w:val="en-US" w:eastAsia="zh-CN"/>
        </w:rPr>
        <w:t>0亿</w:t>
      </w:r>
      <w:r>
        <w:rPr>
          <w:rFonts w:ascii="Times New Roman" w:eastAsia="仿宋_GB2312" w:hAnsi="Times New Roman" w:cs="Times New Roman" w:hint="eastAsia"/>
          <w:b w:val="0"/>
          <w:bCs w:val="0"/>
          <w:sz w:val="32"/>
          <w:szCs w:val="20"/>
          <w:highlight w:val="none"/>
          <w:lang w:val="en-US" w:eastAsia="zh-CN"/>
        </w:rPr>
        <w:t>元。</w:t>
      </w:r>
    </w:p>
    <w:p>
      <w:pPr>
        <w:keepNext w:val="0"/>
        <w:keepLines w:val="0"/>
        <w:pageBreakBefore w:val="0"/>
        <w:widowControl w:val="0"/>
        <w:kinsoku/>
        <w:wordWrap/>
        <w:overflowPunct/>
        <w:topLinePunct w:val="0"/>
        <w:autoSpaceDE/>
        <w:autoSpaceDN/>
        <w:bidi w:val="0"/>
        <w:spacing w:line="560" w:lineRule="exact"/>
        <w:ind w:firstLine="640" w:firstLineChars="200"/>
        <w:rPr>
          <w:rFonts w:ascii="楷体_GB2312" w:eastAsia="楷体_GB2312" w:hAnsi="楷体_GB2312" w:cs="楷体_GB2312" w:hint="eastAsia"/>
          <w:b/>
          <w:bCs/>
          <w:sz w:val="32"/>
          <w:szCs w:val="32"/>
          <w:highlight w:val="none"/>
          <w:lang w:val="en-US" w:eastAsia="zh-CN"/>
        </w:rPr>
      </w:pPr>
      <w:r>
        <w:rPr>
          <w:rFonts w:ascii="楷体_GB2312" w:eastAsia="楷体_GB2312" w:hAnsi="楷体_GB2312" w:cs="楷体_GB2312" w:hint="eastAsia"/>
          <w:b/>
          <w:bCs/>
          <w:sz w:val="32"/>
          <w:szCs w:val="32"/>
          <w:highlight w:val="none"/>
          <w:lang w:val="en-US" w:eastAsia="zh-CN"/>
        </w:rPr>
        <w:t>（二）财政支出情况</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eastAsia="仿宋_GB2312" w:hAnsi="Times New Roman" w:cs="Times New Roman" w:hint="eastAsia"/>
          <w:b w:val="0"/>
          <w:bCs w:val="0"/>
          <w:sz w:val="32"/>
          <w:szCs w:val="20"/>
          <w:highlight w:val="none"/>
          <w:lang w:val="en-US" w:eastAsia="zh-CN"/>
        </w:rPr>
      </w:pPr>
      <w:r>
        <w:rPr>
          <w:rFonts w:ascii="Times New Roman" w:eastAsia="仿宋_GB2312" w:hAnsi="Times New Roman" w:cs="Times New Roman" w:hint="eastAsia"/>
          <w:b w:val="0"/>
          <w:bCs w:val="0"/>
          <w:sz w:val="32"/>
          <w:szCs w:val="20"/>
          <w:highlight w:val="none"/>
          <w:lang w:val="en-US" w:eastAsia="zh-CN"/>
        </w:rPr>
        <w:t>2022年</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完成地方财政支出55</w:t>
      </w:r>
      <w:r>
        <w:rPr>
          <w:rFonts w:cs="Times New Roman" w:hint="eastAsia"/>
          <w:b w:val="0"/>
          <w:bCs w:val="0"/>
          <w:sz w:val="32"/>
          <w:szCs w:val="20"/>
          <w:highlight w:val="none"/>
          <w:lang w:val="en-US" w:eastAsia="zh-CN"/>
        </w:rPr>
        <w:t>.90亿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增支24</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54</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上升78.3%。其中：公共财政预算支出完成34</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02</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增支8</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9</w:t>
      </w:r>
      <w:r>
        <w:rPr>
          <w:rFonts w:cs="Times New Roman" w:hint="eastAsia"/>
          <w:b w:val="0"/>
          <w:bCs w:val="0"/>
          <w:sz w:val="32"/>
          <w:szCs w:val="20"/>
          <w:highlight w:val="none"/>
          <w:lang w:val="en-US" w:eastAsia="zh-CN"/>
        </w:rPr>
        <w:t>1亿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上升35.5%；基金支出完成21</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8</w:t>
      </w:r>
      <w:r>
        <w:rPr>
          <w:rFonts w:cs="Times New Roman" w:hint="eastAsia"/>
          <w:b w:val="0"/>
          <w:bCs w:val="0"/>
          <w:sz w:val="32"/>
          <w:szCs w:val="20"/>
          <w:highlight w:val="none"/>
          <w:lang w:val="en-US" w:eastAsia="zh-CN"/>
        </w:rPr>
        <w:t>8亿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增支15</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6</w:t>
      </w:r>
      <w:r>
        <w:rPr>
          <w:rFonts w:cs="Times New Roman" w:hint="eastAsia"/>
          <w:b w:val="0"/>
          <w:bCs w:val="0"/>
          <w:sz w:val="32"/>
          <w:szCs w:val="20"/>
          <w:highlight w:val="none"/>
          <w:lang w:val="en-US" w:eastAsia="zh-CN"/>
        </w:rPr>
        <w:t>4亿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上升250.8%。</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rPr>
          <w:rFonts w:ascii="楷体_GB2312" w:eastAsia="楷体_GB2312" w:hAnsi="楷体_GB2312" w:cs="楷体_GB2312" w:hint="eastAsia"/>
          <w:b/>
          <w:sz w:val="32"/>
          <w:szCs w:val="32"/>
          <w:highlight w:val="none"/>
        </w:rPr>
      </w:pPr>
      <w:r>
        <w:rPr>
          <w:rFonts w:ascii="楷体_GB2312" w:eastAsia="楷体_GB2312" w:hAnsi="楷体_GB2312" w:cs="楷体_GB2312" w:hint="eastAsia"/>
          <w:b/>
          <w:sz w:val="32"/>
          <w:szCs w:val="32"/>
          <w:highlight w:val="none"/>
        </w:rPr>
        <w:t>预算平衡情况</w:t>
      </w:r>
    </w:p>
    <w:p>
      <w:pPr>
        <w:keepNext w:val="0"/>
        <w:keepLines w:val="0"/>
        <w:pageBreakBefore w:val="0"/>
        <w:kinsoku/>
        <w:wordWrap/>
        <w:overflowPunct/>
        <w:topLinePunct w:val="0"/>
        <w:autoSpaceDE/>
        <w:autoSpaceDN/>
        <w:bidi w:val="0"/>
        <w:spacing w:line="560" w:lineRule="exact"/>
        <w:ind w:firstLine="640" w:firstLineChars="200"/>
        <w:rPr>
          <w:rFonts w:hint="eastAsia"/>
        </w:rPr>
      </w:pPr>
      <w:r>
        <w:rPr>
          <w:rFonts w:ascii="仿宋_GB2312" w:eastAsia="仿宋_GB2312" w:hint="eastAsia"/>
          <w:b/>
          <w:sz w:val="32"/>
        </w:rPr>
        <w:t>1</w:t>
      </w:r>
      <w:r>
        <w:rPr>
          <w:rFonts w:ascii="仿宋_GB2312" w:hint="eastAsia"/>
          <w:b/>
          <w:sz w:val="32"/>
          <w:lang w:eastAsia="zh-CN"/>
        </w:rPr>
        <w:t>.</w:t>
      </w:r>
      <w:r>
        <w:rPr>
          <w:rFonts w:ascii="仿宋_GB2312" w:eastAsia="仿宋_GB2312" w:hint="eastAsia"/>
          <w:b/>
          <w:sz w:val="32"/>
        </w:rPr>
        <w:t>一般公共预算收支平衡情况</w:t>
      </w:r>
    </w:p>
    <w:p>
      <w:pPr>
        <w:keepNext w:val="0"/>
        <w:keepLines w:val="0"/>
        <w:pageBreakBefore w:val="0"/>
        <w:kinsoku/>
        <w:wordWrap/>
        <w:overflowPunct/>
        <w:topLinePunct w:val="0"/>
        <w:autoSpaceDE/>
        <w:autoSpaceDN/>
        <w:bidi w:val="0"/>
        <w:spacing w:line="560" w:lineRule="exact"/>
        <w:ind w:firstLine="640" w:firstLineChars="200"/>
        <w:rPr>
          <w:rFonts w:ascii="Times New Roman" w:eastAsia="仿宋_GB2312" w:hAnsi="Times New Roman" w:cs="Times New Roman" w:hint="eastAsia"/>
          <w:b w:val="0"/>
          <w:bCs w:val="0"/>
          <w:sz w:val="32"/>
          <w:szCs w:val="20"/>
          <w:highlight w:val="none"/>
          <w:lang w:val="en-US" w:eastAsia="zh-CN"/>
        </w:rPr>
      </w:pPr>
      <w:r>
        <w:rPr>
          <w:rFonts w:ascii="Times New Roman" w:eastAsia="仿宋_GB2312" w:hAnsi="Times New Roman" w:cs="Times New Roman" w:hint="eastAsia"/>
          <w:b w:val="0"/>
          <w:bCs w:val="0"/>
          <w:sz w:val="32"/>
          <w:szCs w:val="20"/>
          <w:highlight w:val="none"/>
          <w:lang w:val="en-US" w:eastAsia="zh-CN"/>
        </w:rPr>
        <w:t>2022年完成一般公共预算收入9</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92</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上级补助收入20</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93</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上年结余收入7</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3</w:t>
      </w:r>
      <w:r>
        <w:rPr>
          <w:rFonts w:cs="Times New Roman" w:hint="eastAsia"/>
          <w:b w:val="0"/>
          <w:bCs w:val="0"/>
          <w:sz w:val="32"/>
          <w:szCs w:val="20"/>
          <w:highlight w:val="none"/>
          <w:lang w:val="en-US" w:eastAsia="zh-CN"/>
        </w:rPr>
        <w:t>1亿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调入资金2</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6</w:t>
      </w:r>
      <w:r>
        <w:rPr>
          <w:rFonts w:cs="Times New Roman" w:hint="eastAsia"/>
          <w:b w:val="0"/>
          <w:bCs w:val="0"/>
          <w:sz w:val="32"/>
          <w:szCs w:val="20"/>
          <w:highlight w:val="none"/>
          <w:lang w:val="en-US" w:eastAsia="zh-CN"/>
        </w:rPr>
        <w:t>3亿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债务转贷收入4</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62</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动用预算稳定调节基金4247万元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全年一般公共预算总财力45</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8</w:t>
      </w:r>
      <w:r>
        <w:rPr>
          <w:rFonts w:cs="Times New Roman" w:hint="eastAsia"/>
          <w:b w:val="0"/>
          <w:bCs w:val="0"/>
          <w:sz w:val="32"/>
          <w:szCs w:val="20"/>
          <w:highlight w:val="none"/>
          <w:lang w:val="en-US" w:eastAsia="zh-CN"/>
        </w:rPr>
        <w:t>4亿</w:t>
      </w:r>
      <w:r>
        <w:rPr>
          <w:rFonts w:ascii="Times New Roman" w:eastAsia="仿宋_GB2312" w:hAnsi="Times New Roman" w:cs="Times New Roman" w:hint="eastAsia"/>
          <w:b w:val="0"/>
          <w:bCs w:val="0"/>
          <w:sz w:val="32"/>
          <w:szCs w:val="20"/>
          <w:highlight w:val="none"/>
          <w:lang w:val="en-US" w:eastAsia="zh-CN"/>
        </w:rPr>
        <w:t>元；一般公共预算支出34</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02</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上解上级支出1</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94</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一般债券还本支出3</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32</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安排预算稳定调节基金311万元；年终结余6</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52</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sz w:val="32"/>
          <w:szCs w:val="20"/>
          <w:highlight w:val="none"/>
          <w:lang w:val="en-US" w:eastAsia="zh-CN"/>
        </w:rPr>
        <w:t>元结转下年支出。</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hint="eastAsia"/>
          <w:b/>
          <w:sz w:val="32"/>
          <w:szCs w:val="22"/>
        </w:rPr>
      </w:pPr>
      <w:r>
        <w:rPr>
          <w:rFonts w:ascii="仿宋_GB2312" w:eastAsia="仿宋_GB2312" w:hint="eastAsia"/>
          <w:b/>
          <w:sz w:val="32"/>
          <w:szCs w:val="22"/>
        </w:rPr>
        <w:t>2</w:t>
      </w:r>
      <w:r>
        <w:rPr>
          <w:rFonts w:ascii="仿宋_GB2312" w:hint="eastAsia"/>
          <w:b/>
          <w:sz w:val="32"/>
          <w:szCs w:val="22"/>
          <w:lang w:eastAsia="zh-CN"/>
        </w:rPr>
        <w:t>.</w:t>
      </w:r>
      <w:r>
        <w:rPr>
          <w:rFonts w:ascii="仿宋_GB2312" w:eastAsia="仿宋_GB2312" w:hint="eastAsia"/>
          <w:b/>
          <w:sz w:val="32"/>
          <w:szCs w:val="22"/>
        </w:rPr>
        <w:t>政府性基金预算收支平衡情况</w:t>
      </w:r>
    </w:p>
    <w:p>
      <w:pPr>
        <w:keepNext w:val="0"/>
        <w:keepLines w:val="0"/>
        <w:pageBreakBefore w:val="0"/>
        <w:kinsoku/>
        <w:wordWrap/>
        <w:overflowPunct/>
        <w:topLinePunct w:val="0"/>
        <w:autoSpaceDE/>
        <w:autoSpaceDN/>
        <w:bidi w:val="0"/>
        <w:spacing w:line="560" w:lineRule="exact"/>
        <w:ind w:firstLine="640" w:firstLineChars="200"/>
        <w:rPr>
          <w:rFonts w:ascii="Times New Roman" w:eastAsia="仿宋_GB2312" w:hAnsi="Times New Roman" w:cs="Times New Roman" w:hint="eastAsia"/>
          <w:b w:val="0"/>
          <w:bCs w:val="0"/>
          <w:sz w:val="32"/>
          <w:szCs w:val="20"/>
          <w:highlight w:val="none"/>
          <w:lang w:val="en-US" w:eastAsia="zh-CN"/>
        </w:rPr>
      </w:pPr>
      <w:r>
        <w:rPr>
          <w:rFonts w:ascii="Times New Roman" w:eastAsia="仿宋_GB2312" w:hAnsi="Times New Roman" w:cs="Times New Roman" w:hint="eastAsia"/>
          <w:b w:val="0"/>
          <w:bCs w:val="0"/>
          <w:sz w:val="32"/>
          <w:szCs w:val="20"/>
          <w:highlight w:val="none"/>
          <w:lang w:val="en-US" w:eastAsia="zh-CN"/>
        </w:rPr>
        <w:t>2022年完成政府性基金收入7</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4</w:t>
      </w:r>
      <w:r>
        <w:rPr>
          <w:rFonts w:cs="Times New Roman" w:hint="eastAsia"/>
          <w:b w:val="0"/>
          <w:bCs w:val="0"/>
          <w:sz w:val="32"/>
          <w:szCs w:val="20"/>
          <w:highlight w:val="none"/>
          <w:lang w:val="en-US" w:eastAsia="zh-CN"/>
        </w:rPr>
        <w:t>5亿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上级补助收入642万元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上年结余收入590万元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债务转贷收入22</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9</w:t>
      </w:r>
      <w:r>
        <w:rPr>
          <w:rFonts w:cs="Times New Roman" w:hint="eastAsia"/>
          <w:b w:val="0"/>
          <w:bCs w:val="0"/>
          <w:sz w:val="32"/>
          <w:szCs w:val="20"/>
          <w:highlight w:val="none"/>
          <w:lang w:val="en-US" w:eastAsia="zh-CN"/>
        </w:rPr>
        <w:t>0亿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调入资金4857万元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全年政府性基金预算总财力30</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9</w:t>
      </w:r>
      <w:r>
        <w:rPr>
          <w:rFonts w:cs="Times New Roman" w:hint="eastAsia"/>
          <w:b w:val="0"/>
          <w:bCs w:val="0"/>
          <w:sz w:val="32"/>
          <w:szCs w:val="20"/>
          <w:highlight w:val="none"/>
          <w:lang w:val="en-US" w:eastAsia="zh-CN"/>
        </w:rPr>
        <w:t>6亿</w:t>
      </w:r>
      <w:r>
        <w:rPr>
          <w:rFonts w:ascii="Times New Roman" w:eastAsia="仿宋_GB2312" w:hAnsi="Times New Roman" w:cs="Times New Roman" w:hint="eastAsia"/>
          <w:b w:val="0"/>
          <w:bCs w:val="0"/>
          <w:sz w:val="32"/>
          <w:szCs w:val="20"/>
          <w:highlight w:val="none"/>
          <w:lang w:val="en-US" w:eastAsia="zh-CN"/>
        </w:rPr>
        <w:t>元；政府性基金支出为21</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8</w:t>
      </w:r>
      <w:r>
        <w:rPr>
          <w:rFonts w:cs="Times New Roman" w:hint="eastAsia"/>
          <w:b w:val="0"/>
          <w:bCs w:val="0"/>
          <w:sz w:val="32"/>
          <w:szCs w:val="20"/>
          <w:highlight w:val="none"/>
          <w:lang w:val="en-US" w:eastAsia="zh-CN"/>
        </w:rPr>
        <w:t>8亿</w:t>
      </w:r>
      <w:r>
        <w:rPr>
          <w:rFonts w:ascii="Times New Roman" w:eastAsia="仿宋_GB2312" w:hAnsi="Times New Roman" w:cs="Times New Roman" w:hint="eastAsia"/>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调出资金3583万元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专项债务还本支出2177万元；年终结余8</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50</w:t>
      </w:r>
      <w:r>
        <w:rPr>
          <w:rFonts w:cs="Times New Roman" w:hint="eastAsia"/>
          <w:b w:val="0"/>
          <w:bCs w:val="0"/>
          <w:sz w:val="32"/>
          <w:szCs w:val="20"/>
          <w:highlight w:val="none"/>
          <w:lang w:val="en-US" w:eastAsia="zh-CN"/>
        </w:rPr>
        <w:t>8亿</w:t>
      </w:r>
      <w:r>
        <w:rPr>
          <w:rFonts w:ascii="Times New Roman" w:eastAsia="仿宋_GB2312" w:hAnsi="Times New Roman" w:cs="Times New Roman" w:hint="eastAsia"/>
          <w:b w:val="0"/>
          <w:bCs w:val="0"/>
          <w:sz w:val="32"/>
          <w:szCs w:val="20"/>
          <w:highlight w:val="none"/>
          <w:lang w:val="en-US" w:eastAsia="zh-CN"/>
        </w:rPr>
        <w:t>元结转下年支出。</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hint="eastAsia"/>
          <w:b/>
          <w:sz w:val="32"/>
          <w:szCs w:val="22"/>
          <w:lang w:val="en-US" w:eastAsia="zh-CN"/>
        </w:rPr>
      </w:pPr>
      <w:r>
        <w:rPr>
          <w:rFonts w:ascii="仿宋_GB2312" w:eastAsia="仿宋_GB2312" w:hint="eastAsia"/>
          <w:b/>
          <w:sz w:val="32"/>
          <w:szCs w:val="22"/>
          <w:lang w:val="en-US" w:eastAsia="zh-CN"/>
        </w:rPr>
        <w:t>3</w:t>
      </w:r>
      <w:r>
        <w:rPr>
          <w:rFonts w:ascii="仿宋_GB2312" w:hint="eastAsia"/>
          <w:b/>
          <w:sz w:val="32"/>
          <w:szCs w:val="22"/>
          <w:lang w:val="en-US" w:eastAsia="zh-CN"/>
        </w:rPr>
        <w:t>.</w:t>
      </w:r>
      <w:r>
        <w:rPr>
          <w:rFonts w:ascii="仿宋_GB2312" w:eastAsia="仿宋_GB2312" w:hint="eastAsia"/>
          <w:b/>
          <w:sz w:val="32"/>
          <w:szCs w:val="22"/>
          <w:lang w:val="en-US" w:eastAsia="zh-CN"/>
        </w:rPr>
        <w:t>国有资本经营预算收支平衡情况</w:t>
      </w:r>
    </w:p>
    <w:p>
      <w:pPr>
        <w:keepNext w:val="0"/>
        <w:keepLines w:val="0"/>
        <w:pageBreakBefore w:val="0"/>
        <w:kinsoku/>
        <w:wordWrap/>
        <w:overflowPunct/>
        <w:topLinePunct w:val="0"/>
        <w:autoSpaceDE/>
        <w:autoSpaceDN/>
        <w:bidi w:val="0"/>
        <w:spacing w:line="560" w:lineRule="exact"/>
        <w:ind w:firstLine="640" w:firstLineChars="200"/>
        <w:rPr>
          <w:rFonts w:hint="default"/>
          <w:lang w:val="en-US" w:eastAsia="zh-CN"/>
        </w:rPr>
      </w:pPr>
      <w:r>
        <w:rPr>
          <w:rFonts w:ascii="Times New Roman" w:eastAsia="仿宋_GB2312" w:hAnsi="Times New Roman" w:cs="Times New Roman" w:hint="eastAsia"/>
          <w:b w:val="0"/>
          <w:bCs w:val="0"/>
          <w:sz w:val="32"/>
          <w:szCs w:val="20"/>
          <w:highlight w:val="none"/>
          <w:lang w:val="en-US" w:eastAsia="zh-CN"/>
        </w:rPr>
        <w:t>2022年国有资本经营预算收入194万元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上级补助收入6万元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上年结余收入11万元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全年国有资本经营预算总财力211万元；支出118万元；年终结余93万元结转下年支出。</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hint="eastAsia"/>
          <w:b/>
          <w:sz w:val="32"/>
          <w:szCs w:val="22"/>
          <w:lang w:val="en-US" w:eastAsia="zh-CN"/>
        </w:rPr>
      </w:pPr>
      <w:r>
        <w:rPr>
          <w:rFonts w:ascii="仿宋_GB2312" w:eastAsia="仿宋_GB2312" w:hint="eastAsia"/>
          <w:b/>
          <w:sz w:val="32"/>
          <w:szCs w:val="22"/>
          <w:lang w:val="en-US" w:eastAsia="zh-CN"/>
        </w:rPr>
        <w:t>4</w:t>
      </w:r>
      <w:r>
        <w:rPr>
          <w:rFonts w:ascii="仿宋_GB2312" w:hint="eastAsia"/>
          <w:b/>
          <w:sz w:val="32"/>
          <w:szCs w:val="22"/>
          <w:lang w:val="en-US" w:eastAsia="zh-CN"/>
        </w:rPr>
        <w:t>.</w:t>
      </w:r>
      <w:r>
        <w:rPr>
          <w:rFonts w:ascii="仿宋_GB2312" w:eastAsia="仿宋_GB2312" w:hint="eastAsia"/>
          <w:b/>
          <w:sz w:val="32"/>
          <w:szCs w:val="22"/>
          <w:lang w:val="en-US" w:eastAsia="zh-CN"/>
        </w:rPr>
        <w:t>预算外资金收支平衡情况</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eastAsia="仿宋_GB2312" w:hAnsi="Times New Roman" w:cs="Times New Roman" w:hint="default"/>
          <w:b w:val="0"/>
          <w:bCs w:val="0"/>
          <w:sz w:val="32"/>
          <w:szCs w:val="20"/>
          <w:highlight w:val="none"/>
          <w:lang w:val="en-US" w:eastAsia="zh-CN"/>
        </w:rPr>
      </w:pPr>
      <w:r>
        <w:rPr>
          <w:rFonts w:ascii="Times New Roman" w:eastAsia="仿宋_GB2312" w:hAnsi="Times New Roman" w:cs="Times New Roman" w:hint="eastAsia"/>
          <w:b w:val="0"/>
          <w:bCs w:val="0"/>
          <w:sz w:val="32"/>
          <w:szCs w:val="20"/>
          <w:highlight w:val="none"/>
          <w:lang w:val="en-US" w:eastAsia="zh-CN"/>
        </w:rPr>
        <w:t>2022年财政专户管理预算外资金收入705.72万元；支出751.84万元；年终结余339.06万元结转下年。2021年末结余385.18万元。</w:t>
      </w:r>
    </w:p>
    <w:p>
      <w:pPr>
        <w:keepNext w:val="0"/>
        <w:keepLines w:val="0"/>
        <w:pageBreakBefore w:val="0"/>
        <w:kinsoku/>
        <w:wordWrap/>
        <w:overflowPunct/>
        <w:topLinePunct w:val="0"/>
        <w:autoSpaceDE/>
        <w:autoSpaceDN/>
        <w:bidi w:val="0"/>
        <w:spacing w:line="560" w:lineRule="exact"/>
        <w:ind w:firstLine="640" w:firstLineChars="200"/>
        <w:rPr>
          <w:rFonts w:ascii="仿宋_GB2312" w:eastAsia="仿宋_GB2312" w:hAnsi="Calibri" w:cs="Times New Roman" w:hint="default"/>
          <w:b/>
          <w:kern w:val="2"/>
          <w:sz w:val="32"/>
          <w:szCs w:val="22"/>
          <w:lang w:val="en-US" w:eastAsia="zh-CN" w:bidi="ar-SA"/>
        </w:rPr>
      </w:pPr>
      <w:r>
        <w:rPr>
          <w:rFonts w:ascii="仿宋_GB2312" w:eastAsia="仿宋_GB2312" w:cs="Times New Roman" w:hint="eastAsia"/>
          <w:b/>
          <w:kern w:val="2"/>
          <w:sz w:val="32"/>
          <w:szCs w:val="22"/>
          <w:lang w:val="en-US" w:eastAsia="zh-CN" w:bidi="ar-SA"/>
        </w:rPr>
        <w:t>5</w:t>
      </w:r>
      <w:r>
        <w:rPr>
          <w:rFonts w:ascii="仿宋_GB2312" w:cs="Times New Roman" w:hint="eastAsia"/>
          <w:b/>
          <w:kern w:val="2"/>
          <w:sz w:val="32"/>
          <w:szCs w:val="22"/>
          <w:lang w:val="en-US" w:eastAsia="zh-CN" w:bidi="ar-SA"/>
        </w:rPr>
        <w:t>.</w:t>
      </w:r>
      <w:r>
        <w:rPr>
          <w:rFonts w:ascii="仿宋_GB2312" w:eastAsia="仿宋_GB2312" w:hAnsi="Calibri" w:cs="Times New Roman" w:hint="eastAsia"/>
          <w:b/>
          <w:kern w:val="2"/>
          <w:sz w:val="32"/>
          <w:szCs w:val="22"/>
          <w:lang w:val="en-US" w:eastAsia="zh-CN" w:bidi="ar-SA"/>
        </w:rPr>
        <w:t>社会保险基金收支</w:t>
      </w:r>
      <w:r>
        <w:rPr>
          <w:rFonts w:ascii="仿宋_GB2312" w:eastAsia="仿宋_GB2312" w:hint="eastAsia"/>
          <w:b/>
          <w:sz w:val="32"/>
          <w:szCs w:val="22"/>
          <w:lang w:val="en-US" w:eastAsia="zh-CN"/>
        </w:rPr>
        <w:t>平衡情况</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eastAsia="仿宋_GB2312" w:hAnsi="Times New Roman" w:cs="Times New Roman" w:hint="default"/>
          <w:b w:val="0"/>
          <w:bCs w:val="0"/>
          <w:sz w:val="32"/>
          <w:szCs w:val="20"/>
          <w:highlight w:val="none"/>
          <w:lang w:val="en-US" w:eastAsia="zh-CN"/>
        </w:rPr>
      </w:pPr>
      <w:r>
        <w:rPr>
          <w:rFonts w:ascii="Times New Roman" w:eastAsia="仿宋_GB2312" w:hAnsi="Times New Roman" w:cs="Times New Roman" w:hint="default"/>
          <w:b w:val="0"/>
          <w:bCs w:val="0"/>
          <w:sz w:val="32"/>
          <w:szCs w:val="20"/>
          <w:highlight w:val="none"/>
          <w:lang w:val="en-US" w:eastAsia="zh-CN"/>
        </w:rPr>
        <w:t>2022年乌苏市社会保险基金</w:t>
      </w:r>
      <w:r>
        <w:rPr>
          <w:rFonts w:cs="Times New Roman" w:hint="eastAsia"/>
          <w:b w:val="0"/>
          <w:bCs w:val="0"/>
          <w:sz w:val="32"/>
          <w:szCs w:val="20"/>
          <w:highlight w:val="none"/>
          <w:lang w:val="en-US" w:eastAsia="zh-CN"/>
        </w:rPr>
        <w:t>完成</w:t>
      </w:r>
      <w:r>
        <w:rPr>
          <w:rFonts w:ascii="Times New Roman" w:eastAsia="仿宋_GB2312" w:hAnsi="Times New Roman" w:cs="Times New Roman" w:hint="default"/>
          <w:b w:val="0"/>
          <w:bCs w:val="0"/>
          <w:sz w:val="32"/>
          <w:szCs w:val="20"/>
          <w:highlight w:val="none"/>
          <w:lang w:val="en-US" w:eastAsia="zh-CN"/>
        </w:rPr>
        <w:t>预算收入4</w:t>
      </w:r>
      <w:r>
        <w:rPr>
          <w:rFonts w:cs="Times New Roman" w:hint="eastAsia"/>
          <w:b w:val="0"/>
          <w:bCs w:val="0"/>
          <w:sz w:val="32"/>
          <w:szCs w:val="20"/>
          <w:highlight w:val="none"/>
          <w:lang w:val="en-US" w:eastAsia="zh-CN"/>
        </w:rPr>
        <w:t>.</w:t>
      </w:r>
      <w:r>
        <w:rPr>
          <w:rFonts w:ascii="Times New Roman" w:eastAsia="仿宋_GB2312" w:hAnsi="Times New Roman" w:cs="Times New Roman" w:hint="default"/>
          <w:b w:val="0"/>
          <w:bCs w:val="0"/>
          <w:sz w:val="32"/>
          <w:szCs w:val="20"/>
          <w:highlight w:val="none"/>
          <w:lang w:val="en-US" w:eastAsia="zh-CN"/>
        </w:rPr>
        <w:t>6</w:t>
      </w:r>
      <w:r>
        <w:rPr>
          <w:rFonts w:cs="Times New Roman" w:hint="eastAsia"/>
          <w:b w:val="0"/>
          <w:bCs w:val="0"/>
          <w:sz w:val="32"/>
          <w:szCs w:val="20"/>
          <w:highlight w:val="none"/>
          <w:lang w:val="en-US" w:eastAsia="zh-CN"/>
        </w:rPr>
        <w:t>3亿</w:t>
      </w:r>
      <w:r>
        <w:rPr>
          <w:rFonts w:ascii="Times New Roman" w:eastAsia="仿宋_GB2312" w:hAnsi="Times New Roman" w:cs="Times New Roman" w:hint="default"/>
          <w:b w:val="0"/>
          <w:bCs w:val="0"/>
          <w:sz w:val="32"/>
          <w:szCs w:val="20"/>
          <w:highlight w:val="none"/>
          <w:lang w:val="en-US" w:eastAsia="zh-CN"/>
        </w:rPr>
        <w:t>元</w:t>
      </w:r>
      <w:r>
        <w:rPr>
          <w:rFonts w:cs="Times New Roman" w:hint="eastAsia"/>
          <w:b w:val="0"/>
          <w:bCs w:val="0"/>
          <w:sz w:val="32"/>
          <w:szCs w:val="20"/>
          <w:highlight w:val="none"/>
          <w:lang w:val="en-US" w:eastAsia="zh-CN"/>
        </w:rPr>
        <w:t>，</w:t>
      </w:r>
      <w:r>
        <w:rPr>
          <w:rFonts w:ascii="Times New Roman" w:eastAsia="仿宋_GB2312" w:hAnsi="Times New Roman" w:cs="Times New Roman" w:hint="default"/>
          <w:b w:val="0"/>
          <w:bCs w:val="0"/>
          <w:sz w:val="32"/>
          <w:szCs w:val="20"/>
          <w:highlight w:val="none"/>
          <w:lang w:val="en-US" w:eastAsia="zh-CN"/>
        </w:rPr>
        <w:t>社会保险基金</w:t>
      </w:r>
      <w:r>
        <w:rPr>
          <w:rFonts w:cs="Times New Roman" w:hint="eastAsia"/>
          <w:b w:val="0"/>
          <w:bCs w:val="0"/>
          <w:sz w:val="32"/>
          <w:szCs w:val="20"/>
          <w:highlight w:val="none"/>
          <w:lang w:val="en-US" w:eastAsia="zh-CN"/>
        </w:rPr>
        <w:t>完成</w:t>
      </w:r>
      <w:r>
        <w:rPr>
          <w:rFonts w:ascii="Times New Roman" w:eastAsia="仿宋_GB2312" w:hAnsi="Times New Roman" w:cs="Times New Roman" w:hint="default"/>
          <w:b w:val="0"/>
          <w:bCs w:val="0"/>
          <w:sz w:val="32"/>
          <w:szCs w:val="20"/>
          <w:highlight w:val="none"/>
          <w:lang w:val="en-US" w:eastAsia="zh-CN"/>
        </w:rPr>
        <w:t>预算支出4</w:t>
      </w:r>
      <w:r>
        <w:rPr>
          <w:rFonts w:cs="Times New Roman" w:hint="eastAsia"/>
          <w:b w:val="0"/>
          <w:bCs w:val="0"/>
          <w:sz w:val="32"/>
          <w:szCs w:val="20"/>
          <w:highlight w:val="none"/>
          <w:lang w:val="en-US" w:eastAsia="zh-CN"/>
        </w:rPr>
        <w:t>.</w:t>
      </w:r>
      <w:r>
        <w:rPr>
          <w:rFonts w:ascii="Times New Roman" w:eastAsia="仿宋_GB2312" w:hAnsi="Times New Roman" w:cs="Times New Roman" w:hint="default"/>
          <w:b w:val="0"/>
          <w:bCs w:val="0"/>
          <w:sz w:val="32"/>
          <w:szCs w:val="20"/>
          <w:highlight w:val="none"/>
          <w:lang w:val="en-US" w:eastAsia="zh-CN"/>
        </w:rPr>
        <w:t>33</w:t>
      </w:r>
      <w:r>
        <w:rPr>
          <w:rFonts w:cs="Times New Roman" w:hint="eastAsia"/>
          <w:b w:val="0"/>
          <w:bCs w:val="0"/>
          <w:sz w:val="32"/>
          <w:szCs w:val="20"/>
          <w:highlight w:val="none"/>
          <w:lang w:val="en-US" w:eastAsia="zh-CN"/>
        </w:rPr>
        <w:t>亿</w:t>
      </w:r>
      <w:r>
        <w:rPr>
          <w:rFonts w:ascii="Times New Roman" w:eastAsia="仿宋_GB2312" w:hAnsi="Times New Roman" w:cs="Times New Roman" w:hint="default"/>
          <w:b w:val="0"/>
          <w:bCs w:val="0"/>
          <w:sz w:val="32"/>
          <w:szCs w:val="20"/>
          <w:highlight w:val="none"/>
          <w:lang w:val="en-US" w:eastAsia="zh-CN"/>
        </w:rPr>
        <w:t>元</w:t>
      </w:r>
      <w:r>
        <w:rPr>
          <w:rFonts w:ascii="Times New Roman" w:eastAsia="仿宋_GB2312" w:hAnsi="Times New Roman" w:cs="Times New Roman" w:hint="eastAsia"/>
          <w:b w:val="0"/>
          <w:bCs w:val="0"/>
          <w:sz w:val="32"/>
          <w:szCs w:val="20"/>
          <w:highlight w:val="none"/>
          <w:lang w:val="en-US" w:eastAsia="zh-CN"/>
        </w:rPr>
        <w:t>；</w:t>
      </w:r>
      <w:r>
        <w:rPr>
          <w:rFonts w:ascii="Times New Roman" w:eastAsia="仿宋_GB2312" w:hAnsi="Times New Roman" w:cs="Times New Roman" w:hint="default"/>
          <w:b w:val="0"/>
          <w:bCs w:val="0"/>
          <w:sz w:val="32"/>
          <w:szCs w:val="20"/>
          <w:highlight w:val="none"/>
          <w:lang w:val="en-US" w:eastAsia="zh-CN"/>
        </w:rPr>
        <w:t>当年收支结余29</w:t>
      </w:r>
      <w:r>
        <w:rPr>
          <w:rFonts w:ascii="Times New Roman" w:eastAsia="仿宋_GB2312" w:hAnsi="Times New Roman" w:cs="Times New Roman" w:hint="eastAsia"/>
          <w:b w:val="0"/>
          <w:bCs w:val="0"/>
          <w:sz w:val="32"/>
          <w:szCs w:val="20"/>
          <w:highlight w:val="none"/>
          <w:lang w:val="en-US" w:eastAsia="zh-CN"/>
        </w:rPr>
        <w:t>20</w:t>
      </w:r>
      <w:r>
        <w:rPr>
          <w:rFonts w:ascii="Times New Roman" w:eastAsia="仿宋_GB2312" w:hAnsi="Times New Roman" w:cs="Times New Roman" w:hint="default"/>
          <w:b w:val="0"/>
          <w:bCs w:val="0"/>
          <w:sz w:val="32"/>
          <w:szCs w:val="20"/>
          <w:highlight w:val="none"/>
          <w:lang w:val="en-US" w:eastAsia="zh-CN"/>
        </w:rPr>
        <w:t>万元。</w:t>
      </w:r>
    </w:p>
    <w:p>
      <w:pPr>
        <w:keepNext w:val="0"/>
        <w:keepLines w:val="0"/>
        <w:pageBreakBefore w:val="0"/>
        <w:widowControl w:val="0"/>
        <w:kinsoku/>
        <w:wordWrap/>
        <w:overflowPunct/>
        <w:topLinePunct w:val="0"/>
        <w:autoSpaceDE/>
        <w:autoSpaceDN/>
        <w:bidi w:val="0"/>
        <w:spacing w:line="560" w:lineRule="exact"/>
        <w:ind w:firstLine="640" w:firstLineChars="200"/>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（四）预备费动用情况</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eastAsia="仿宋_GB2312" w:hAnsi="Times New Roman" w:cs="Times New Roman" w:hint="eastAsia"/>
          <w:b w:val="0"/>
          <w:bCs w:val="0"/>
          <w:sz w:val="32"/>
          <w:szCs w:val="20"/>
          <w:highlight w:val="yellow"/>
          <w:lang w:val="en-US" w:eastAsia="zh-CN"/>
        </w:rPr>
      </w:pPr>
      <w:r>
        <w:rPr>
          <w:rFonts w:ascii="Times New Roman" w:eastAsia="仿宋_GB2312" w:hAnsi="Times New Roman" w:cs="Times New Roman" w:hint="eastAsia"/>
          <w:b w:val="0"/>
          <w:bCs w:val="0"/>
          <w:sz w:val="32"/>
          <w:szCs w:val="20"/>
          <w:highlight w:val="none"/>
          <w:lang w:val="en-US" w:eastAsia="zh-CN"/>
        </w:rPr>
        <w:t>调整预备费3500万元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用于新冠肺炎疫情防控领域支出3351万元</w:t>
      </w:r>
      <w:r>
        <w:rPr>
          <w:rFonts w:cs="Times New Roman" w:hint="eastAsia"/>
          <w:b w:val="0"/>
          <w:bCs w:val="0"/>
          <w:sz w:val="32"/>
          <w:szCs w:val="20"/>
          <w:highlight w:val="none"/>
          <w:lang w:val="en-US" w:eastAsia="zh-CN"/>
        </w:rPr>
        <w:t>，</w:t>
      </w:r>
      <w:r>
        <w:rPr>
          <w:rFonts w:ascii="Times New Roman" w:eastAsia="仿宋_GB2312" w:hAnsi="Times New Roman" w:cs="Times New Roman" w:hint="eastAsia"/>
          <w:b w:val="0"/>
          <w:bCs w:val="0"/>
          <w:sz w:val="32"/>
          <w:szCs w:val="20"/>
          <w:highlight w:val="none"/>
          <w:lang w:val="en-US" w:eastAsia="zh-CN"/>
        </w:rPr>
        <w:t>突发自然灾害救助支出149万元。</w:t>
      </w:r>
    </w:p>
    <w:p>
      <w:pPr>
        <w:keepNext w:val="0"/>
        <w:keepLines w:val="0"/>
        <w:pageBreakBefore w:val="0"/>
        <w:widowControl w:val="0"/>
        <w:kinsoku/>
        <w:wordWrap/>
        <w:overflowPunct/>
        <w:topLinePunct w:val="0"/>
        <w:autoSpaceDE/>
        <w:autoSpaceDN/>
        <w:bidi w:val="0"/>
        <w:spacing w:line="560" w:lineRule="exact"/>
        <w:ind w:firstLine="640" w:firstLineChars="200"/>
        <w:rPr>
          <w:rFonts w:ascii="黑体" w:eastAsia="黑体" w:hAnsi="黑体" w:cs="黑体" w:hint="eastAsia"/>
          <w:b w:val="0"/>
          <w:kern w:val="2"/>
          <w:sz w:val="32"/>
          <w:szCs w:val="32"/>
          <w:lang w:val="en-US" w:eastAsia="zh-CN" w:bidi="ar-SA"/>
        </w:rPr>
      </w:pPr>
      <w:r>
        <w:rPr>
          <w:rFonts w:ascii="黑体" w:eastAsia="黑体" w:hAnsi="黑体" w:cs="黑体" w:hint="eastAsia"/>
          <w:b w:val="0"/>
          <w:kern w:val="2"/>
          <w:sz w:val="32"/>
          <w:szCs w:val="32"/>
          <w:lang w:val="en-US" w:eastAsia="zh-CN" w:bidi="ar-SA"/>
        </w:rPr>
        <w:t>三、审计评价意见</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ascii="Times New Roman" w:eastAsia="仿宋_GB2312" w:hAnsi="Times New Roman" w:cs="Times New Roman" w:hint="eastAsia"/>
          <w:b w:val="0"/>
          <w:bCs w:val="0"/>
          <w:kern w:val="2"/>
          <w:sz w:val="32"/>
          <w:szCs w:val="20"/>
          <w:highlight w:val="none"/>
          <w:lang w:val="en-US" w:eastAsia="zh-CN" w:bidi="ar-SA"/>
        </w:rPr>
      </w:pPr>
      <w:r>
        <w:rPr>
          <w:rFonts w:ascii="Times New Roman" w:eastAsia="仿宋_GB2312" w:hAnsi="Times New Roman" w:cs="Times New Roman" w:hint="eastAsia"/>
          <w:b w:val="0"/>
          <w:bCs w:val="0"/>
          <w:kern w:val="2"/>
          <w:sz w:val="32"/>
          <w:szCs w:val="20"/>
          <w:highlight w:val="none"/>
          <w:lang w:val="en-US" w:eastAsia="zh-CN" w:bidi="ar-SA"/>
        </w:rPr>
        <w:t>2022年</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市财政部门树牢过“苦日子”思想</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市直预算单位公用经费标准和一般性支出压减3%</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大力调整优化支出结构</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加强财政库款统筹力度</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确保每一笔资金用在刀刃上。一是强化预算管理</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合理调度库款</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切实兜牢“三保”底线。将“三保”工作作为一项重要的政治任务来抓</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坚持“三保”在财政支出中的优先顺序。</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ascii="Times New Roman" w:eastAsia="仿宋_GB2312" w:hAnsi="Times New Roman" w:cs="Times New Roman" w:hint="eastAsia"/>
          <w:b w:val="0"/>
          <w:bCs w:val="0"/>
          <w:kern w:val="2"/>
          <w:sz w:val="32"/>
          <w:szCs w:val="20"/>
          <w:highlight w:val="none"/>
          <w:lang w:val="en-US" w:eastAsia="zh-CN" w:bidi="ar-SA"/>
        </w:rPr>
      </w:pPr>
      <w:r>
        <w:rPr>
          <w:rFonts w:ascii="Times New Roman" w:eastAsia="仿宋_GB2312" w:hAnsi="Times New Roman" w:cs="Times New Roman" w:hint="eastAsia"/>
          <w:b w:val="0"/>
          <w:bCs w:val="0"/>
          <w:kern w:val="2"/>
          <w:sz w:val="32"/>
          <w:szCs w:val="20"/>
          <w:highlight w:val="none"/>
          <w:lang w:val="en-US" w:eastAsia="zh-CN" w:bidi="ar-SA"/>
        </w:rPr>
        <w:t>2022年</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我市大多数企业正处于建设和发展期及税收优惠期</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财政收入增长难度进一步加大</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加上政策性减税因素影响税收减收较大以及刚性支出增大</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给预算管理和预算执行工作带来了重重困难</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预算执行及其他财政收支情况总体不佳</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在预算管理、预算执行中存在一些需要纠正和改进的问题。</w:t>
      </w:r>
    </w:p>
    <w:p>
      <w:pPr>
        <w:keepNext w:val="0"/>
        <w:keepLines w:val="0"/>
        <w:pageBreakBefore w:val="0"/>
        <w:widowControl w:val="0"/>
        <w:kinsoku/>
        <w:wordWrap/>
        <w:overflowPunct/>
        <w:topLinePunct w:val="0"/>
        <w:autoSpaceDE/>
        <w:autoSpaceDN/>
        <w:bidi w:val="0"/>
        <w:spacing w:line="560" w:lineRule="exact"/>
        <w:ind w:firstLine="640" w:firstLineChars="200"/>
        <w:rPr>
          <w:rFonts w:ascii="黑体" w:eastAsia="黑体" w:hAnsi="黑体" w:cs="黑体" w:hint="eastAsia"/>
          <w:sz w:val="32"/>
          <w:szCs w:val="32"/>
        </w:rPr>
      </w:pPr>
      <w:r>
        <w:rPr>
          <w:rFonts w:ascii="黑体" w:eastAsia="黑体" w:hAnsi="黑体" w:cs="黑体" w:hint="eastAsia"/>
          <w:sz w:val="32"/>
          <w:szCs w:val="32"/>
        </w:rPr>
        <w:t>四、审计查出的问题及处理意见</w:t>
      </w:r>
    </w:p>
    <w:p>
      <w:pPr>
        <w:keepNext w:val="0"/>
        <w:keepLines w:val="0"/>
        <w:pageBreakBefore w:val="0"/>
        <w:widowControl w:val="0"/>
        <w:numPr>
          <w:ilvl w:val="0"/>
          <w:numId w:val="0"/>
        </w:numPr>
        <w:kinsoku/>
        <w:wordWrap/>
        <w:overflowPunct/>
        <w:topLinePunct w:val="0"/>
        <w:autoSpaceDE/>
        <w:autoSpaceDN/>
        <w:bidi w:val="0"/>
        <w:adjustRightInd w:val="0"/>
        <w:spacing w:line="560" w:lineRule="exact"/>
        <w:ind w:firstLine="640" w:firstLineChars="200"/>
        <w:jc w:val="both"/>
        <w:textAlignment w:val="baseline"/>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（一）预算执行与预算管理方面存在的问题</w:t>
      </w:r>
    </w:p>
    <w:p>
      <w:pPr>
        <w:pStyle w:val="BodyTextFirstIndent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baseline"/>
        <w:rPr>
          <w:rFonts w:ascii="仿宋_GB2312" w:eastAsia="仿宋_GB2312" w:hAnsi="Calibri" w:cs="Times New Roman" w:hint="eastAsia"/>
          <w:b/>
          <w:kern w:val="2"/>
          <w:sz w:val="32"/>
          <w:szCs w:val="22"/>
          <w:lang w:val="en-US" w:eastAsia="zh-CN" w:bidi="ar-SA"/>
        </w:rPr>
      </w:pPr>
      <w:r>
        <w:rPr>
          <w:rFonts w:ascii="仿宋_GB2312" w:hAnsi="Calibri" w:cs="Times New Roman" w:hint="eastAsia"/>
          <w:b/>
          <w:kern w:val="2"/>
          <w:sz w:val="32"/>
          <w:szCs w:val="22"/>
          <w:lang w:val="en-US" w:eastAsia="zh-CN" w:bidi="ar-SA"/>
        </w:rPr>
        <w:t>1</w:t>
      </w:r>
      <w:r>
        <w:rPr>
          <w:rFonts w:ascii="仿宋_GB2312" w:eastAsia="仿宋_GB2312" w:hAnsi="Calibri" w:cs="Times New Roman" w:hint="eastAsia"/>
          <w:b/>
          <w:kern w:val="2"/>
          <w:sz w:val="32"/>
          <w:szCs w:val="22"/>
          <w:lang w:val="en-US" w:eastAsia="zh-CN" w:bidi="ar-SA"/>
        </w:rPr>
        <w:t>.乌苏市自然资源局2022年应收未收非税收入117.56万元</w:t>
      </w:r>
    </w:p>
    <w:p>
      <w:pPr>
        <w:pStyle w:val="BodyTextFirstIndent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baseline"/>
        <w:rPr>
          <w:rFonts w:ascii="Times New Roman" w:eastAsia="仿宋_GB2312" w:hAnsi="Times New Roman" w:cs="Times New Roman" w:hint="eastAsia"/>
          <w:b w:val="0"/>
          <w:bCs w:val="0"/>
          <w:kern w:val="2"/>
          <w:sz w:val="32"/>
          <w:szCs w:val="20"/>
          <w:highlight w:val="none"/>
          <w:lang w:val="en-US" w:eastAsia="zh-CN" w:bidi="ar-SA"/>
        </w:rPr>
      </w:pPr>
      <w:r>
        <w:rPr>
          <w:rFonts w:ascii="Times New Roman" w:eastAsia="仿宋_GB2312" w:hAnsi="Times New Roman" w:cs="Times New Roman" w:hint="eastAsia"/>
          <w:b w:val="0"/>
          <w:bCs w:val="0"/>
          <w:kern w:val="2"/>
          <w:sz w:val="32"/>
          <w:szCs w:val="20"/>
          <w:highlight w:val="none"/>
          <w:lang w:val="en-US" w:eastAsia="zh-CN" w:bidi="ar-SA"/>
        </w:rPr>
        <w:t>2022年乌苏市自</w:t>
      </w:r>
      <w:bookmarkStart w:id="0" w:name="_GoBack"/>
      <w:r>
        <w:rPr>
          <w:rFonts w:ascii="Times New Roman" w:eastAsia="仿宋_GB2312" w:hAnsi="Times New Roman" w:cs="Times New Roman" w:hint="eastAsia"/>
          <w:b w:val="0"/>
          <w:bCs w:val="0"/>
          <w:kern w:val="2"/>
          <w:sz w:val="32"/>
          <w:szCs w:val="20"/>
          <w:highlight w:val="none"/>
          <w:lang w:val="en-US" w:eastAsia="zh-CN" w:bidi="ar-SA"/>
        </w:rPr>
        <w:t>然资源局挂牌出让土地</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应收土地出让金1</w:t>
      </w:r>
      <w:r>
        <w:rPr>
          <w:rFonts w:cs="Times New Roman" w:hint="eastAsia"/>
          <w:b w:val="0"/>
          <w:bCs w:val="0"/>
          <w:kern w:val="2"/>
          <w:sz w:val="32"/>
          <w:szCs w:val="20"/>
          <w:highlight w:val="none"/>
          <w:lang w:val="en-US" w:eastAsia="zh-CN" w:bidi="ar-SA"/>
        </w:rPr>
        <w:t>.40</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kern w:val="2"/>
          <w:sz w:val="32"/>
          <w:szCs w:val="20"/>
          <w:highlight w:val="none"/>
          <w:lang w:val="en-US" w:eastAsia="zh-CN" w:bidi="ar-SA"/>
        </w:rPr>
        <w:t>元</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已收1</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38</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kern w:val="2"/>
          <w:sz w:val="32"/>
          <w:szCs w:val="20"/>
          <w:highlight w:val="none"/>
          <w:lang w:val="en-US" w:eastAsia="zh-CN" w:bidi="ar-SA"/>
        </w:rPr>
        <w:t>元</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已全额上缴财政</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应收未收117.5</w:t>
      </w:r>
      <w:r>
        <w:rPr>
          <w:rFonts w:cs="Times New Roman" w:hint="eastAsia"/>
          <w:b w:val="0"/>
          <w:bCs w:val="0"/>
          <w:kern w:val="2"/>
          <w:sz w:val="32"/>
          <w:szCs w:val="20"/>
          <w:highlight w:val="none"/>
          <w:lang w:val="en-US" w:eastAsia="zh-CN" w:bidi="ar-SA"/>
        </w:rPr>
        <w:t>6</w:t>
      </w:r>
      <w:r>
        <w:rPr>
          <w:rFonts w:ascii="Times New Roman" w:eastAsia="仿宋_GB2312" w:hAnsi="Times New Roman" w:cs="Times New Roman" w:hint="eastAsia"/>
          <w:b w:val="0"/>
          <w:bCs w:val="0"/>
          <w:kern w:val="2"/>
          <w:sz w:val="32"/>
          <w:szCs w:val="20"/>
          <w:highlight w:val="none"/>
          <w:lang w:val="en-US" w:eastAsia="zh-CN" w:bidi="ar-SA"/>
        </w:rPr>
        <w:t>万元</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涉及两家</w:t>
      </w:r>
      <w:r>
        <w:rPr>
          <w:rFonts w:cs="Times New Roman" w:hint="eastAsia"/>
          <w:b w:val="0"/>
          <w:bCs w:val="0"/>
          <w:kern w:val="2"/>
          <w:sz w:val="32"/>
          <w:szCs w:val="20"/>
          <w:highlight w:val="none"/>
          <w:lang w:val="en-US" w:eastAsia="zh-CN" w:bidi="ar-SA"/>
        </w:rPr>
        <w:t>单位</w:t>
      </w:r>
      <w:r>
        <w:rPr>
          <w:rFonts w:ascii="Times New Roman" w:eastAsia="仿宋_GB2312" w:hAnsi="Times New Roman" w:cs="Times New Roman" w:hint="eastAsia"/>
          <w:b w:val="0"/>
          <w:bCs w:val="0"/>
          <w:kern w:val="2"/>
          <w:sz w:val="32"/>
          <w:szCs w:val="20"/>
          <w:highlight w:val="none"/>
          <w:lang w:val="en-US" w:eastAsia="zh-CN" w:bidi="ar-SA"/>
        </w:rPr>
        <w:t>（乌苏市西大沟镇人民政府欠缴25.5</w:t>
      </w:r>
      <w:r>
        <w:rPr>
          <w:rFonts w:cs="Times New Roman" w:hint="eastAsia"/>
          <w:b w:val="0"/>
          <w:bCs w:val="0"/>
          <w:kern w:val="2"/>
          <w:sz w:val="32"/>
          <w:szCs w:val="20"/>
          <w:highlight w:val="none"/>
          <w:lang w:val="en-US" w:eastAsia="zh-CN" w:bidi="ar-SA"/>
        </w:rPr>
        <w:t>4</w:t>
      </w:r>
      <w:r>
        <w:rPr>
          <w:rFonts w:ascii="Times New Roman" w:eastAsia="仿宋_GB2312" w:hAnsi="Times New Roman" w:cs="Times New Roman" w:hint="eastAsia"/>
          <w:b w:val="0"/>
          <w:bCs w:val="0"/>
          <w:kern w:val="2"/>
          <w:sz w:val="32"/>
          <w:szCs w:val="20"/>
          <w:highlight w:val="none"/>
          <w:lang w:val="en-US" w:eastAsia="zh-CN" w:bidi="ar-SA"/>
        </w:rPr>
        <w:t>万元</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乌苏市苏瑞达工贸有限公司欠缴92.02万元）。</w:t>
      </w:r>
    </w:p>
    <w:p>
      <w:pPr>
        <w:pStyle w:val="BodyTextFirstIndent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baseline"/>
        <w:rPr>
          <w:rFonts w:ascii="Times New Roman" w:eastAsia="仿宋_GB2312" w:hAnsi="Times New Roman" w:cs="Times New Roman" w:hint="eastAsia"/>
          <w:b w:val="0"/>
          <w:bCs w:val="0"/>
          <w:kern w:val="2"/>
          <w:sz w:val="32"/>
          <w:szCs w:val="20"/>
          <w:highlight w:val="none"/>
          <w:lang w:val="en-US" w:eastAsia="zh-CN" w:bidi="ar-SA"/>
        </w:rPr>
      </w:pPr>
      <w:r>
        <w:rPr>
          <w:rFonts w:ascii="仿宋_GB2312" w:hAnsi="仿宋_GB2312" w:cs="仿宋_GB2312" w:hint="eastAsia"/>
          <w:kern w:val="2"/>
          <w:sz w:val="32"/>
          <w:szCs w:val="32"/>
          <w:lang w:val="en-US" w:eastAsia="zh-CN" w:bidi="ar-SA"/>
        </w:rPr>
        <w:t>上述做法不符合</w:t>
      </w:r>
      <w:r>
        <w:rPr>
          <w:rFonts w:ascii="Times New Roman" w:eastAsia="仿宋_GB2312" w:hAnsi="Times New Roman" w:cs="Times New Roman" w:hint="eastAsia"/>
          <w:b w:val="0"/>
          <w:bCs w:val="0"/>
          <w:kern w:val="2"/>
          <w:sz w:val="32"/>
          <w:szCs w:val="20"/>
          <w:highlight w:val="none"/>
          <w:lang w:val="en-US" w:eastAsia="zh-CN" w:bidi="ar-SA"/>
        </w:rPr>
        <w:t>《中华人民共和国预算</w:t>
      </w:r>
      <w:bookmarkEnd w:id="0"/>
      <w:r>
        <w:rPr>
          <w:rFonts w:ascii="Times New Roman" w:eastAsia="仿宋_GB2312" w:hAnsi="Times New Roman" w:cs="Times New Roman" w:hint="eastAsia"/>
          <w:b w:val="0"/>
          <w:bCs w:val="0"/>
          <w:kern w:val="2"/>
          <w:sz w:val="32"/>
          <w:szCs w:val="20"/>
          <w:highlight w:val="none"/>
          <w:lang w:val="en-US" w:eastAsia="zh-CN" w:bidi="ar-SA"/>
        </w:rPr>
        <w:t>法》第五十五条“预算收入征收部门和单位</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必须依照法律、行政法规的规定</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及时、足额征收应征的预算收入。不得违反法律、行政法规规定</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多征、提前征收或者减征、免征、缓征应征的预算收入</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不得截留、占用或者挪用预算收入。”</w:t>
      </w:r>
    </w:p>
    <w:p>
      <w:pPr>
        <w:pStyle w:val="BodyTextFirstIndent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baseline"/>
        <w:rPr>
          <w:rFonts w:ascii="Times New Roman" w:eastAsia="仿宋_GB2312" w:hAnsi="Times New Roman" w:cs="Times New Roman" w:hint="eastAsia"/>
          <w:b w:val="0"/>
          <w:bCs w:val="0"/>
          <w:kern w:val="2"/>
          <w:sz w:val="32"/>
          <w:szCs w:val="20"/>
          <w:highlight w:val="none"/>
          <w:lang w:val="en-US" w:eastAsia="zh-CN" w:bidi="ar-SA"/>
        </w:rPr>
      </w:pPr>
      <w:r>
        <w:rPr>
          <w:rFonts w:cs="Times New Roman" w:hint="eastAsia"/>
          <w:b w:val="0"/>
          <w:bCs w:val="0"/>
          <w:kern w:val="2"/>
          <w:sz w:val="32"/>
          <w:szCs w:val="20"/>
          <w:highlight w:val="none"/>
          <w:lang w:val="en-US" w:eastAsia="zh-CN" w:bidi="ar-SA"/>
        </w:rPr>
        <w:t>根据</w:t>
      </w:r>
      <w:r>
        <w:rPr>
          <w:rFonts w:ascii="Times New Roman" w:eastAsia="仿宋_GB2312" w:hAnsi="Times New Roman" w:cs="Times New Roman" w:hint="eastAsia"/>
          <w:b w:val="0"/>
          <w:bCs w:val="0"/>
          <w:kern w:val="2"/>
          <w:sz w:val="32"/>
          <w:szCs w:val="20"/>
          <w:highlight w:val="none"/>
          <w:lang w:val="en-US" w:eastAsia="zh-CN" w:bidi="ar-SA"/>
        </w:rPr>
        <w:t>《财政违法行为处罚处分条例》第三条“财政收入执收单位及其工作人员有下列违反国家财政收入管理规定的行为之一的</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责令改正</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补收应当收取的财政收入</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限期退还违法所得。对单位给予警告或者通报批评。对直接负责的主管人员和其他直接责任人员给予警告、记过或者记大过处分</w:t>
      </w:r>
      <w:r>
        <w:rPr>
          <w:rFonts w:ascii="Times New Roman" w:eastAsia="仿宋_GB2312" w:hAnsi="Times New Roman" w:cs="Times New Roman" w:hint="default"/>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情节严重的</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给予降级或者撤职处分</w:t>
      </w:r>
      <w:r>
        <w:rPr>
          <w:rFonts w:ascii="Times New Roman" w:eastAsia="仿宋_GB2312" w:hAnsi="Times New Roman" w:cs="Times New Roman" w:hint="default"/>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w:t>
      </w:r>
      <w:r>
        <w:rPr>
          <w:rFonts w:ascii="Times New Roman" w:eastAsia="仿宋_GB2312" w:hAnsi="Times New Roman" w:cs="Times New Roman" w:hint="default"/>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四</w:t>
      </w:r>
      <w:r>
        <w:rPr>
          <w:rFonts w:ascii="Times New Roman" w:eastAsia="仿宋_GB2312" w:hAnsi="Times New Roman" w:cs="Times New Roman" w:hint="default"/>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缓收、不收财政收入</w:t>
      </w:r>
      <w:r>
        <w:rPr>
          <w:rFonts w:ascii="Times New Roman" w:eastAsia="仿宋_GB2312" w:hAnsi="Times New Roman" w:cs="Times New Roman" w:hint="eastAsia"/>
          <w:b w:val="0"/>
          <w:bCs w:val="0"/>
          <w:kern w:val="2"/>
          <w:sz w:val="32"/>
          <w:szCs w:val="20"/>
          <w:highlight w:val="none"/>
          <w:lang w:val="zh-CN" w:eastAsia="zh-CN" w:bidi="ar-SA"/>
        </w:rPr>
        <w:t>；</w:t>
      </w:r>
      <w:r>
        <w:rPr>
          <w:rFonts w:ascii="Times New Roman" w:eastAsia="仿宋_GB2312" w:hAnsi="Times New Roman" w:cs="Times New Roman" w:hint="eastAsia"/>
          <w:b w:val="0"/>
          <w:bCs w:val="0"/>
          <w:kern w:val="2"/>
          <w:sz w:val="32"/>
          <w:szCs w:val="20"/>
          <w:highlight w:val="none"/>
          <w:lang w:val="en-US" w:eastAsia="zh-CN" w:bidi="ar-SA"/>
        </w:rPr>
        <w:t>”</w:t>
      </w:r>
    </w:p>
    <w:p>
      <w:pPr>
        <w:pStyle w:val="BodyTextFirstIndent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baseline"/>
        <w:rPr>
          <w:rFonts w:ascii="Times New Roman" w:eastAsia="仿宋_GB2312" w:hAnsi="Times New Roman" w:cs="Times New Roman" w:hint="eastAsia"/>
          <w:b w:val="0"/>
          <w:bCs w:val="0"/>
          <w:kern w:val="2"/>
          <w:sz w:val="32"/>
          <w:szCs w:val="20"/>
          <w:highlight w:val="none"/>
          <w:lang w:val="en-US" w:eastAsia="zh-CN" w:bidi="ar-SA"/>
        </w:rPr>
      </w:pPr>
      <w:r>
        <w:rPr>
          <w:rFonts w:ascii="Times New Roman" w:eastAsia="仿宋_GB2312" w:hAnsi="Times New Roman" w:cs="Times New Roman" w:hint="eastAsia"/>
          <w:b w:val="0"/>
          <w:bCs w:val="0"/>
          <w:kern w:val="2"/>
          <w:sz w:val="32"/>
          <w:szCs w:val="20"/>
          <w:highlight w:val="none"/>
          <w:lang w:val="en-US" w:eastAsia="zh-CN" w:bidi="ar-SA"/>
        </w:rPr>
        <w:t>审计要求</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财政部门督促乌苏市自然资源局加强非税收入管理</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确保非税收入应收尽收</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并及时缴入国库。</w:t>
      </w:r>
    </w:p>
    <w:p>
      <w:pPr>
        <w:pStyle w:val="Heading1"/>
        <w:keepNext w:val="0"/>
        <w:keepLines w:val="0"/>
        <w:pageBreakBefore w:val="0"/>
        <w:widowControl w:val="0"/>
        <w:numPr>
          <w:ilvl w:val="0"/>
          <w:numId w:val="0"/>
        </w:numPr>
        <w:kinsoku/>
        <w:wordWrap/>
        <w:overflowPunct/>
        <w:topLinePunct w:val="0"/>
        <w:autoSpaceDE/>
        <w:autoSpaceDN/>
        <w:bidi w:val="0"/>
        <w:adjustRightInd w:val="0"/>
        <w:spacing w:before="0" w:beforeAutospacing="0" w:after="0" w:afterAutospacing="0" w:line="560" w:lineRule="exact"/>
        <w:ind w:firstLine="640" w:firstLineChars="200"/>
        <w:jc w:val="both"/>
        <w:textAlignment w:val="baseline"/>
        <w:rPr>
          <w:rFonts w:ascii="楷体_GB2312" w:eastAsia="楷体_GB2312" w:hAnsi="楷体_GB2312" w:cs="楷体_GB2312" w:hint="eastAsia"/>
          <w:kern w:val="2"/>
          <w:sz w:val="32"/>
          <w:szCs w:val="32"/>
          <w:highlight w:val="none"/>
          <w:lang w:val="en-US" w:eastAsia="zh-CN"/>
        </w:rPr>
      </w:pPr>
      <w:r>
        <w:rPr>
          <w:rFonts w:ascii="楷体_GB2312" w:eastAsia="楷体_GB2312" w:hAnsi="楷体_GB2312" w:cs="楷体_GB2312" w:hint="eastAsia"/>
          <w:kern w:val="2"/>
          <w:sz w:val="32"/>
          <w:szCs w:val="32"/>
          <w:highlight w:val="none"/>
          <w:lang w:val="en-US" w:eastAsia="zh-CN"/>
        </w:rPr>
        <w:t>2.当年预算安排未召开党委（党组）会议研究</w:t>
      </w:r>
    </w:p>
    <w:p>
      <w:pPr>
        <w:pStyle w:val="BodyTextFirstIndent2"/>
        <w:keepNext w:val="0"/>
        <w:keepLines w:val="0"/>
        <w:pageBreakBefore w:val="0"/>
        <w:kinsoku/>
        <w:wordWrap/>
        <w:overflowPunct/>
        <w:topLinePunct w:val="0"/>
        <w:autoSpaceDE/>
        <w:autoSpaceDN/>
        <w:bidi w:val="0"/>
        <w:spacing w:line="560" w:lineRule="exact"/>
        <w:rPr>
          <w:rFonts w:ascii="Times New Roman" w:eastAsia="仿宋_GB2312" w:hAnsi="Times New Roman" w:cs="Times New Roman" w:hint="eastAsia"/>
          <w:b w:val="0"/>
          <w:bCs w:val="0"/>
          <w:kern w:val="2"/>
          <w:sz w:val="32"/>
          <w:szCs w:val="20"/>
          <w:highlight w:val="none"/>
          <w:lang w:val="en-US" w:eastAsia="zh-CN" w:bidi="ar-SA"/>
        </w:rPr>
      </w:pPr>
      <w:r>
        <w:rPr>
          <w:rFonts w:cs="Times New Roman" w:hint="eastAsia"/>
          <w:b w:val="0"/>
          <w:bCs w:val="0"/>
          <w:kern w:val="2"/>
          <w:sz w:val="32"/>
          <w:szCs w:val="20"/>
          <w:highlight w:val="none"/>
          <w:lang w:val="en-US" w:eastAsia="zh-CN" w:bidi="ar-SA"/>
        </w:rPr>
        <w:t>通过</w:t>
      </w:r>
      <w:r>
        <w:rPr>
          <w:rFonts w:ascii="Times New Roman" w:eastAsia="仿宋_GB2312" w:hAnsi="Times New Roman" w:cs="Times New Roman" w:hint="eastAsia"/>
          <w:b w:val="0"/>
          <w:bCs w:val="0"/>
          <w:kern w:val="2"/>
          <w:sz w:val="32"/>
          <w:szCs w:val="20"/>
          <w:highlight w:val="none"/>
          <w:lang w:val="en-US" w:eastAsia="zh-CN" w:bidi="ar-SA"/>
        </w:rPr>
        <w:t>抽查150家预算单位，</w:t>
      </w:r>
      <w:r>
        <w:rPr>
          <w:rFonts w:cs="Times New Roman" w:hint="eastAsia"/>
          <w:b w:val="0"/>
          <w:bCs w:val="0"/>
          <w:kern w:val="2"/>
          <w:sz w:val="32"/>
          <w:szCs w:val="20"/>
          <w:highlight w:val="none"/>
          <w:lang w:val="en-US" w:eastAsia="zh-CN" w:bidi="ar-SA"/>
        </w:rPr>
        <w:t>有80%</w:t>
      </w:r>
      <w:r>
        <w:rPr>
          <w:rFonts w:ascii="Times New Roman" w:eastAsia="仿宋_GB2312" w:hAnsi="Times New Roman" w:cs="Times New Roman" w:hint="eastAsia"/>
          <w:b w:val="0"/>
          <w:bCs w:val="0"/>
          <w:kern w:val="2"/>
          <w:sz w:val="32"/>
          <w:szCs w:val="20"/>
          <w:highlight w:val="none"/>
          <w:lang w:val="en-US" w:eastAsia="zh-CN" w:bidi="ar-SA"/>
        </w:rPr>
        <w:t>以上预算单位对2022年度预算安排未通过党委（党组）会议研究。</w:t>
      </w:r>
    </w:p>
    <w:p>
      <w:pPr>
        <w:pStyle w:val="BodyTextFirstIndent2"/>
        <w:keepNext w:val="0"/>
        <w:keepLines w:val="0"/>
        <w:pageBreakBefore w:val="0"/>
        <w:kinsoku/>
        <w:wordWrap/>
        <w:overflowPunct/>
        <w:topLinePunct w:val="0"/>
        <w:autoSpaceDE/>
        <w:autoSpaceDN/>
        <w:bidi w:val="0"/>
        <w:spacing w:line="560" w:lineRule="exact"/>
        <w:rPr>
          <w:rFonts w:ascii="Times New Roman" w:eastAsia="仿宋_GB2312" w:hAnsi="Times New Roman" w:cs="Times New Roman" w:hint="eastAsia"/>
          <w:b w:val="0"/>
          <w:bCs w:val="0"/>
          <w:kern w:val="2"/>
          <w:sz w:val="32"/>
          <w:szCs w:val="20"/>
          <w:highlight w:val="none"/>
          <w:lang w:val="en-US" w:eastAsia="zh-CN" w:bidi="ar-SA"/>
        </w:rPr>
      </w:pPr>
      <w:r>
        <w:rPr>
          <w:rFonts w:ascii="仿宋_GB2312" w:hAnsi="仿宋_GB2312" w:cs="仿宋_GB2312" w:hint="eastAsia"/>
          <w:kern w:val="2"/>
          <w:sz w:val="32"/>
          <w:szCs w:val="32"/>
          <w:lang w:val="en-US" w:eastAsia="zh-CN" w:bidi="ar-SA"/>
        </w:rPr>
        <w:t>上述做法不符合</w:t>
      </w:r>
      <w:r>
        <w:rPr>
          <w:rFonts w:ascii="Times New Roman" w:eastAsia="仿宋_GB2312" w:hAnsi="Times New Roman" w:cs="Times New Roman" w:hint="eastAsia"/>
          <w:b w:val="0"/>
          <w:bCs w:val="0"/>
          <w:kern w:val="2"/>
          <w:sz w:val="32"/>
          <w:szCs w:val="20"/>
          <w:highlight w:val="none"/>
          <w:lang w:val="en-US" w:eastAsia="zh-CN" w:bidi="ar-SA"/>
        </w:rPr>
        <w:t>《中国共产党党组工作条例（试行）》第三章 第十七条“党组讨论和决定本单位下列重大问题：……（七）大额资金使用、大额资产处置、预算安排……”</w:t>
      </w:r>
    </w:p>
    <w:p>
      <w:pPr>
        <w:pStyle w:val="BodyTextFirstIndent2"/>
        <w:keepNext w:val="0"/>
        <w:keepLines w:val="0"/>
        <w:pageBreakBefore w:val="0"/>
        <w:kinsoku/>
        <w:wordWrap/>
        <w:overflowPunct/>
        <w:topLinePunct w:val="0"/>
        <w:autoSpaceDE/>
        <w:autoSpaceDN/>
        <w:bidi w:val="0"/>
        <w:spacing w:line="560" w:lineRule="exact"/>
        <w:rPr>
          <w:rFonts w:ascii="Times New Roman" w:eastAsia="仿宋_GB2312" w:hAnsi="Times New Roman" w:cs="Times New Roman" w:hint="eastAsia"/>
          <w:b w:val="0"/>
          <w:bCs w:val="0"/>
          <w:kern w:val="2"/>
          <w:sz w:val="32"/>
          <w:szCs w:val="20"/>
          <w:highlight w:val="none"/>
          <w:lang w:val="en-US" w:eastAsia="zh-CN" w:bidi="ar-SA"/>
        </w:rPr>
      </w:pPr>
      <w:r>
        <w:rPr>
          <w:rFonts w:cs="Times New Roman" w:hint="eastAsia"/>
          <w:b w:val="0"/>
          <w:bCs w:val="0"/>
          <w:kern w:val="2"/>
          <w:sz w:val="32"/>
          <w:szCs w:val="20"/>
          <w:highlight w:val="none"/>
          <w:lang w:val="en-US" w:eastAsia="zh-CN" w:bidi="ar-SA"/>
        </w:rPr>
        <w:t>根据</w:t>
      </w:r>
      <w:r>
        <w:rPr>
          <w:rFonts w:ascii="Times New Roman" w:eastAsia="仿宋_GB2312" w:hAnsi="Times New Roman" w:cs="Times New Roman" w:hint="eastAsia"/>
          <w:b w:val="0"/>
          <w:bCs w:val="0"/>
          <w:kern w:val="2"/>
          <w:sz w:val="32"/>
          <w:szCs w:val="20"/>
          <w:highlight w:val="none"/>
          <w:lang w:val="en-US" w:eastAsia="zh-CN" w:bidi="ar-SA"/>
        </w:rPr>
        <w:t>《中华人民共和国审计法》第四十九条关于：“对本级各部门(含直属单位)和下级政府违反预算的行为或者其他违反国家规定的财政收支行为</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审计机关、人民政府或者有关主管部门在法定职权范围内</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依照法律、行政法规的规定</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区别情况采取下列处理措施:.....(五)其他处理措施。”</w:t>
      </w:r>
    </w:p>
    <w:p>
      <w:pPr>
        <w:pStyle w:val="BodyTextFirstIndent2"/>
        <w:keepNext w:val="0"/>
        <w:keepLines w:val="0"/>
        <w:pageBreakBefore w:val="0"/>
        <w:kinsoku/>
        <w:wordWrap/>
        <w:overflowPunct/>
        <w:topLinePunct w:val="0"/>
        <w:autoSpaceDE/>
        <w:autoSpaceDN/>
        <w:bidi w:val="0"/>
        <w:spacing w:line="560" w:lineRule="exact"/>
        <w:ind w:left="0" w:firstLine="640" w:leftChars="0" w:firstLineChars="200"/>
        <w:rPr>
          <w:rFonts w:ascii="Times New Roman" w:eastAsia="仿宋_GB2312" w:hAnsi="Times New Roman" w:cs="Times New Roman" w:hint="eastAsia"/>
          <w:b w:val="0"/>
          <w:bCs w:val="0"/>
          <w:kern w:val="2"/>
          <w:sz w:val="32"/>
          <w:szCs w:val="20"/>
          <w:highlight w:val="none"/>
          <w:lang w:val="en-US" w:eastAsia="zh-CN" w:bidi="ar-SA"/>
        </w:rPr>
      </w:pPr>
      <w:r>
        <w:rPr>
          <w:rFonts w:ascii="Times New Roman" w:eastAsia="仿宋_GB2312" w:hAnsi="Times New Roman" w:cs="Times New Roman" w:hint="eastAsia"/>
          <w:b w:val="0"/>
          <w:bCs w:val="0"/>
          <w:kern w:val="2"/>
          <w:sz w:val="32"/>
          <w:szCs w:val="20"/>
          <w:highlight w:val="none"/>
          <w:lang w:val="en-US" w:eastAsia="zh-CN" w:bidi="ar-SA"/>
        </w:rPr>
        <w:t>审计要求</w:t>
      </w:r>
      <w:r>
        <w:rPr>
          <w:rFonts w:cs="Times New Roman" w:hint="eastAsia"/>
          <w:b w:val="0"/>
          <w:bCs w:val="0"/>
          <w:kern w:val="2"/>
          <w:sz w:val="32"/>
          <w:szCs w:val="20"/>
          <w:highlight w:val="none"/>
          <w:lang w:val="en-US" w:eastAsia="zh-CN" w:bidi="ar-SA"/>
        </w:rPr>
        <w:t>：财政部门及</w:t>
      </w:r>
      <w:r>
        <w:rPr>
          <w:rFonts w:ascii="Times New Roman" w:eastAsia="仿宋_GB2312" w:hAnsi="Times New Roman" w:cs="Times New Roman" w:hint="eastAsia"/>
          <w:b w:val="0"/>
          <w:bCs w:val="0"/>
          <w:kern w:val="2"/>
          <w:sz w:val="32"/>
          <w:szCs w:val="20"/>
          <w:highlight w:val="none"/>
          <w:lang w:val="en-US" w:eastAsia="zh-CN" w:bidi="ar-SA"/>
        </w:rPr>
        <w:t>各预算单位加强管理</w:t>
      </w:r>
      <w:r>
        <w:rPr>
          <w:rFonts w:cs="Times New Roman" w:hint="eastAsia"/>
          <w:b w:val="0"/>
          <w:bCs w:val="0"/>
          <w:kern w:val="2"/>
          <w:sz w:val="32"/>
          <w:szCs w:val="20"/>
          <w:highlight w:val="none"/>
          <w:lang w:val="en-US" w:eastAsia="zh-CN" w:bidi="ar-SA"/>
        </w:rPr>
        <w:t>，今后</w:t>
      </w:r>
      <w:r>
        <w:rPr>
          <w:rFonts w:ascii="Times New Roman" w:eastAsia="仿宋_GB2312" w:hAnsi="Times New Roman" w:cs="Times New Roman" w:hint="eastAsia"/>
          <w:b w:val="0"/>
          <w:bCs w:val="0"/>
          <w:kern w:val="2"/>
          <w:sz w:val="32"/>
          <w:szCs w:val="20"/>
          <w:highlight w:val="none"/>
          <w:lang w:val="en-US" w:eastAsia="zh-CN" w:bidi="ar-SA"/>
        </w:rPr>
        <w:t>严格按照上述规定</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对需要党委（党组）会议研究的</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及时召开会议</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规范预算</w:t>
      </w:r>
      <w:r>
        <w:rPr>
          <w:rFonts w:cs="Times New Roman" w:hint="eastAsia"/>
          <w:b w:val="0"/>
          <w:bCs w:val="0"/>
          <w:kern w:val="2"/>
          <w:sz w:val="32"/>
          <w:szCs w:val="20"/>
          <w:highlight w:val="none"/>
          <w:lang w:val="en-US" w:eastAsia="zh-CN" w:bidi="ar-SA"/>
        </w:rPr>
        <w:t>安排</w:t>
      </w:r>
      <w:r>
        <w:rPr>
          <w:rFonts w:ascii="Times New Roman" w:eastAsia="仿宋_GB2312" w:hAnsi="Times New Roman" w:cs="Times New Roman" w:hint="eastAsia"/>
          <w:b w:val="0"/>
          <w:bCs w:val="0"/>
          <w:kern w:val="2"/>
          <w:sz w:val="32"/>
          <w:szCs w:val="20"/>
          <w:highlight w:val="none"/>
          <w:lang w:val="en-US" w:eastAsia="zh-CN" w:bidi="ar-SA"/>
        </w:rPr>
        <w:t>流程。</w:t>
      </w:r>
    </w:p>
    <w:p>
      <w:pPr>
        <w:pStyle w:val="Heading1"/>
        <w:keepNext w:val="0"/>
        <w:keepLines w:val="0"/>
        <w:pageBreakBefore w:val="0"/>
        <w:widowControl w:val="0"/>
        <w:numPr>
          <w:ilvl w:val="0"/>
          <w:numId w:val="0"/>
        </w:numPr>
        <w:kinsoku/>
        <w:wordWrap/>
        <w:overflowPunct/>
        <w:topLinePunct w:val="0"/>
        <w:autoSpaceDE/>
        <w:autoSpaceDN/>
        <w:bidi w:val="0"/>
        <w:adjustRightInd w:val="0"/>
        <w:spacing w:before="0" w:beforeAutospacing="0" w:after="0" w:afterAutospacing="0" w:line="560" w:lineRule="exact"/>
        <w:ind w:firstLine="640" w:firstLineChars="200"/>
        <w:jc w:val="both"/>
        <w:textAlignment w:val="baseline"/>
        <w:rPr>
          <w:rFonts w:ascii="楷体_GB2312" w:eastAsia="楷体_GB2312" w:hAnsi="楷体_GB2312" w:cs="楷体_GB2312" w:hint="eastAsia"/>
          <w:kern w:val="2"/>
          <w:sz w:val="32"/>
          <w:szCs w:val="32"/>
          <w:highlight w:val="none"/>
          <w:lang w:eastAsia="zh-CN"/>
        </w:rPr>
      </w:pPr>
      <w:r>
        <w:rPr>
          <w:rFonts w:ascii="楷体_GB2312" w:eastAsia="楷体_GB2312" w:hAnsi="楷体_GB2312" w:cs="楷体_GB2312" w:hint="eastAsia"/>
          <w:kern w:val="2"/>
          <w:sz w:val="32"/>
          <w:szCs w:val="32"/>
          <w:highlight w:val="none"/>
          <w:lang w:val="en-US" w:eastAsia="zh-CN"/>
        </w:rPr>
        <w:t>3.</w:t>
      </w:r>
      <w:r>
        <w:rPr>
          <w:rFonts w:ascii="楷体_GB2312" w:eastAsia="楷体_GB2312" w:hAnsi="楷体_GB2312" w:cs="楷体_GB2312" w:hint="eastAsia"/>
          <w:kern w:val="2"/>
          <w:sz w:val="32"/>
          <w:szCs w:val="32"/>
          <w:highlight w:val="none"/>
          <w:lang w:eastAsia="zh-CN"/>
        </w:rPr>
        <w:t>政府性基金结余超过当年该项基金收入的</w:t>
      </w:r>
      <w:r>
        <w:rPr>
          <w:rFonts w:ascii="楷体_GB2312" w:eastAsia="楷体_GB2312" w:hAnsi="楷体_GB2312" w:cs="楷体_GB2312" w:hint="eastAsia"/>
          <w:kern w:val="2"/>
          <w:sz w:val="32"/>
          <w:szCs w:val="32"/>
          <w:highlight w:val="none"/>
          <w:lang w:val="en-US" w:eastAsia="zh-CN"/>
        </w:rPr>
        <w:t>30%，涉及金额668万元</w:t>
      </w:r>
    </w:p>
    <w:p>
      <w:pPr>
        <w:keepNext w:val="0"/>
        <w:keepLines w:val="0"/>
        <w:pageBreakBefore w:val="0"/>
        <w:kinsoku/>
        <w:wordWrap/>
        <w:overflowPunct/>
        <w:topLinePunct w:val="0"/>
        <w:autoSpaceDE/>
        <w:autoSpaceDN/>
        <w:bidi w:val="0"/>
        <w:spacing w:line="560" w:lineRule="exact"/>
        <w:ind w:firstLine="640" w:firstLineChars="200"/>
        <w:rPr>
          <w:rFonts w:ascii="Times New Roman" w:eastAsia="仿宋_GB2312" w:hAnsi="Times New Roman" w:cs="Times New Roman" w:hint="eastAsia"/>
          <w:b w:val="0"/>
          <w:bCs w:val="0"/>
          <w:kern w:val="2"/>
          <w:sz w:val="32"/>
          <w:szCs w:val="20"/>
          <w:highlight w:val="none"/>
          <w:lang w:val="en-US" w:eastAsia="zh-CN" w:bidi="ar-SA"/>
        </w:rPr>
      </w:pPr>
      <w:r>
        <w:rPr>
          <w:rFonts w:ascii="Times New Roman" w:eastAsia="仿宋_GB2312" w:hAnsi="Times New Roman" w:cs="Times New Roman" w:hint="eastAsia"/>
          <w:b w:val="0"/>
          <w:bCs w:val="0"/>
          <w:kern w:val="2"/>
          <w:sz w:val="32"/>
          <w:szCs w:val="20"/>
          <w:highlight w:val="none"/>
          <w:lang w:val="en-US" w:eastAsia="zh-CN" w:bidi="ar-SA"/>
        </w:rPr>
        <w:t>2022年政府性基金预算总财力30</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9</w:t>
      </w:r>
      <w:r>
        <w:rPr>
          <w:rFonts w:cs="Times New Roman" w:hint="eastAsia"/>
          <w:b w:val="0"/>
          <w:bCs w:val="0"/>
          <w:kern w:val="2"/>
          <w:sz w:val="32"/>
          <w:szCs w:val="20"/>
          <w:highlight w:val="none"/>
          <w:lang w:val="en-US" w:eastAsia="zh-CN" w:bidi="ar-SA"/>
        </w:rPr>
        <w:t>6</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kern w:val="2"/>
          <w:sz w:val="32"/>
          <w:szCs w:val="20"/>
          <w:highlight w:val="none"/>
          <w:lang w:val="en-US" w:eastAsia="zh-CN" w:bidi="ar-SA"/>
        </w:rPr>
        <w:t>元</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其中</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彩票公益金收入1206万元</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当年收入632万元</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上年结余574万元</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彩票公益金支出538万</w:t>
      </w:r>
      <w:r>
        <w:rPr>
          <w:rFonts w:cs="Times New Roman" w:hint="eastAsia"/>
          <w:b w:val="0"/>
          <w:bCs w:val="0"/>
          <w:kern w:val="2"/>
          <w:sz w:val="32"/>
          <w:szCs w:val="20"/>
          <w:highlight w:val="none"/>
          <w:lang w:val="en-US" w:eastAsia="zh-CN" w:bidi="ar-SA"/>
        </w:rPr>
        <w:t>元，</w:t>
      </w:r>
      <w:r>
        <w:rPr>
          <w:rFonts w:ascii="Times New Roman" w:eastAsia="仿宋_GB2312" w:hAnsi="Times New Roman" w:cs="Times New Roman" w:hint="eastAsia"/>
          <w:b w:val="0"/>
          <w:bCs w:val="0"/>
          <w:kern w:val="2"/>
          <w:sz w:val="32"/>
          <w:szCs w:val="20"/>
          <w:highlight w:val="none"/>
          <w:lang w:val="en-US" w:eastAsia="zh-CN" w:bidi="ar-SA"/>
        </w:rPr>
        <w:t>结余668万</w:t>
      </w:r>
      <w:r>
        <w:rPr>
          <w:rFonts w:cs="Times New Roman" w:hint="eastAsia"/>
          <w:b w:val="0"/>
          <w:bCs w:val="0"/>
          <w:kern w:val="2"/>
          <w:sz w:val="32"/>
          <w:szCs w:val="20"/>
          <w:highlight w:val="none"/>
          <w:lang w:val="en-US" w:eastAsia="zh-CN" w:bidi="ar-SA"/>
        </w:rPr>
        <w:t>元，</w:t>
      </w:r>
      <w:r>
        <w:rPr>
          <w:rFonts w:ascii="Times New Roman" w:eastAsia="仿宋_GB2312" w:hAnsi="Times New Roman" w:cs="Times New Roman" w:hint="eastAsia"/>
          <w:b w:val="0"/>
          <w:bCs w:val="0"/>
          <w:kern w:val="2"/>
          <w:sz w:val="32"/>
          <w:szCs w:val="20"/>
          <w:highlight w:val="none"/>
          <w:lang w:val="en-US" w:eastAsia="zh-CN" w:bidi="ar-SA"/>
        </w:rPr>
        <w:t>项目结余超过该项基金当年收入的30%。</w:t>
      </w:r>
    </w:p>
    <w:p>
      <w:pPr>
        <w:pStyle w:val="FootnoteText"/>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eastAsia="仿宋_GB2312" w:hAnsi="Times New Roman" w:cs="Times New Roman" w:hint="eastAsia"/>
          <w:b w:val="0"/>
          <w:bCs w:val="0"/>
          <w:kern w:val="2"/>
          <w:sz w:val="32"/>
          <w:szCs w:val="20"/>
          <w:highlight w:val="none"/>
          <w:lang w:val="en-US" w:eastAsia="zh-CN" w:bidi="ar-SA"/>
        </w:rPr>
      </w:pPr>
      <w:r>
        <w:rPr>
          <w:rFonts w:ascii="仿宋_GB2312" w:hAnsi="仿宋_GB2312" w:cs="仿宋_GB2312" w:hint="eastAsia"/>
          <w:kern w:val="2"/>
          <w:sz w:val="32"/>
          <w:szCs w:val="32"/>
          <w:lang w:val="en-US" w:eastAsia="zh-CN" w:bidi="ar-SA"/>
        </w:rPr>
        <w:t>上述做法不符合</w:t>
      </w:r>
      <w:r>
        <w:rPr>
          <w:rFonts w:ascii="Times New Roman" w:eastAsia="仿宋_GB2312" w:hAnsi="Times New Roman" w:cs="Times New Roman" w:hint="eastAsia"/>
          <w:b w:val="0"/>
          <w:bCs w:val="0"/>
          <w:kern w:val="2"/>
          <w:sz w:val="32"/>
          <w:szCs w:val="20"/>
          <w:highlight w:val="none"/>
          <w:lang w:val="en-US" w:eastAsia="zh-CN" w:bidi="ar-SA"/>
        </w:rPr>
        <w:t>财政部《关于推进地方盘活财政存量资金有关事项的通知》（财预〔2015〕15号）“政府性基金预算结转资金规模较大的</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应调入一般公共预算统筹使用</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调入的基金应补充预算稳定调节基金。每一项政府性基金结转资金规模一般不超过该项基金当年收入的30%</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地方可在此基础上实行更严格的统筹使用措施”</w:t>
      </w:r>
    </w:p>
    <w:p>
      <w:pPr>
        <w:pStyle w:val="BodyTextFirstIndent2"/>
        <w:keepNext w:val="0"/>
        <w:keepLines w:val="0"/>
        <w:pageBreakBefore w:val="0"/>
        <w:widowControl w:val="0"/>
        <w:kinsoku/>
        <w:wordWrap/>
        <w:overflowPunct/>
        <w:topLinePunct w:val="0"/>
        <w:autoSpaceDE/>
        <w:autoSpaceDN/>
        <w:bidi w:val="0"/>
        <w:adjustRightInd w:val="0"/>
        <w:snapToGrid/>
        <w:spacing w:line="560" w:lineRule="exact"/>
        <w:textAlignment w:val="baseline"/>
        <w:rPr>
          <w:rFonts w:ascii="Times New Roman" w:eastAsia="仿宋_GB2312" w:hAnsi="Times New Roman" w:cs="Times New Roman" w:hint="eastAsia"/>
          <w:b w:val="0"/>
          <w:bCs w:val="0"/>
          <w:kern w:val="2"/>
          <w:sz w:val="32"/>
          <w:szCs w:val="20"/>
          <w:highlight w:val="none"/>
          <w:lang w:val="en-US" w:eastAsia="zh-CN" w:bidi="ar-SA"/>
        </w:rPr>
      </w:pPr>
      <w:r>
        <w:rPr>
          <w:rFonts w:cs="Times New Roman" w:hint="eastAsia"/>
          <w:b w:val="0"/>
          <w:bCs w:val="0"/>
          <w:kern w:val="2"/>
          <w:sz w:val="32"/>
          <w:szCs w:val="20"/>
          <w:highlight w:val="none"/>
          <w:lang w:val="en-US" w:eastAsia="zh-CN" w:bidi="ar-SA"/>
        </w:rPr>
        <w:t>根据</w:t>
      </w:r>
      <w:r>
        <w:rPr>
          <w:rFonts w:ascii="Times New Roman" w:eastAsia="仿宋_GB2312" w:hAnsi="Times New Roman" w:cs="Times New Roman" w:hint="eastAsia"/>
          <w:b w:val="0"/>
          <w:bCs w:val="0"/>
          <w:kern w:val="2"/>
          <w:sz w:val="32"/>
          <w:szCs w:val="20"/>
          <w:highlight w:val="none"/>
          <w:lang w:val="en-US" w:eastAsia="zh-CN" w:bidi="ar-SA"/>
        </w:rPr>
        <w:t>《中华人民共和国审计法》第四十九条关于：“对本级各部门(含直属单位)和下级政府违反预算的行为或者其他违反国家规定的财政收支行为</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审计机关、人民政府或者有关主管部门在法定职权范围内</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依照法律、行政法规的规定</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区别情况采取下列处理措施:.....(五)其他处理措施”</w:t>
      </w:r>
    </w:p>
    <w:p>
      <w:pPr>
        <w:pStyle w:val="BodyTextFirstIndent2"/>
        <w:keepNext w:val="0"/>
        <w:keepLines w:val="0"/>
        <w:pageBreakBefore w:val="0"/>
        <w:widowControl w:val="0"/>
        <w:kinsoku/>
        <w:wordWrap/>
        <w:overflowPunct/>
        <w:topLinePunct w:val="0"/>
        <w:autoSpaceDE/>
        <w:autoSpaceDN/>
        <w:bidi w:val="0"/>
        <w:adjustRightInd w:val="0"/>
        <w:snapToGrid/>
        <w:spacing w:line="560" w:lineRule="exact"/>
        <w:textAlignment w:val="baseline"/>
        <w:rPr>
          <w:rFonts w:ascii="Times New Roman" w:eastAsia="仿宋_GB2312" w:hAnsi="Times New Roman" w:cs="Times New Roman" w:hint="eastAsia"/>
          <w:b w:val="0"/>
          <w:bCs w:val="0"/>
          <w:kern w:val="2"/>
          <w:sz w:val="32"/>
          <w:szCs w:val="20"/>
          <w:highlight w:val="none"/>
          <w:lang w:val="en-US" w:eastAsia="zh-CN" w:bidi="ar-SA"/>
        </w:rPr>
      </w:pPr>
      <w:r>
        <w:rPr>
          <w:rFonts w:ascii="Times New Roman" w:eastAsia="仿宋_GB2312" w:hAnsi="Times New Roman" w:cs="Times New Roman" w:hint="eastAsia"/>
          <w:b w:val="0"/>
          <w:bCs w:val="0"/>
          <w:kern w:val="2"/>
          <w:sz w:val="32"/>
          <w:szCs w:val="20"/>
          <w:highlight w:val="none"/>
          <w:lang w:val="en-US" w:eastAsia="zh-CN" w:bidi="ar-SA"/>
        </w:rPr>
        <w:t>审计要求</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财政部门加强财政资金管理</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及时盘活闲置和沉淀资金</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提高财政资金使用效益。</w:t>
      </w:r>
    </w:p>
    <w:p>
      <w:pPr>
        <w:pStyle w:val="Heading1"/>
        <w:keepNext w:val="0"/>
        <w:keepLines w:val="0"/>
        <w:pageBreakBefore w:val="0"/>
        <w:widowControl w:val="0"/>
        <w:numPr>
          <w:ilvl w:val="0"/>
          <w:numId w:val="0"/>
        </w:numPr>
        <w:kinsoku/>
        <w:wordWrap/>
        <w:overflowPunct/>
        <w:topLinePunct w:val="0"/>
        <w:autoSpaceDE/>
        <w:autoSpaceDN/>
        <w:bidi w:val="0"/>
        <w:adjustRightInd w:val="0"/>
        <w:spacing w:before="0" w:beforeAutospacing="0" w:after="0" w:afterAutospacing="0" w:line="560" w:lineRule="exact"/>
        <w:ind w:firstLine="640" w:firstLineChars="200"/>
        <w:jc w:val="both"/>
        <w:textAlignment w:val="baseline"/>
        <w:rPr>
          <w:rFonts w:ascii="楷体_GB2312" w:eastAsia="楷体_GB2312" w:hAnsi="楷体_GB2312" w:cs="楷体_GB2312" w:hint="eastAsia"/>
          <w:kern w:val="2"/>
          <w:sz w:val="32"/>
          <w:szCs w:val="32"/>
          <w:highlight w:val="none"/>
        </w:rPr>
      </w:pPr>
      <w:r>
        <w:rPr>
          <w:rFonts w:ascii="楷体_GB2312" w:eastAsia="楷体_GB2312" w:hAnsi="楷体_GB2312" w:cs="楷体_GB2312" w:hint="eastAsia"/>
          <w:kern w:val="2"/>
          <w:sz w:val="32"/>
          <w:szCs w:val="32"/>
          <w:lang w:val="en-US" w:eastAsia="zh-CN"/>
        </w:rPr>
        <w:t>(</w:t>
      </w:r>
      <w:r>
        <w:rPr>
          <w:rFonts w:ascii="楷体_GB2312" w:eastAsia="楷体_GB2312" w:hAnsi="楷体_GB2312" w:cs="楷体_GB2312" w:hint="eastAsia"/>
          <w:kern w:val="2"/>
          <w:sz w:val="32"/>
          <w:szCs w:val="32"/>
          <w:lang w:eastAsia="zh-CN"/>
        </w:rPr>
        <w:t>二</w:t>
      </w:r>
      <w:r>
        <w:rPr>
          <w:rFonts w:ascii="楷体_GB2312" w:eastAsia="楷体_GB2312" w:hAnsi="楷体_GB2312" w:cs="楷体_GB2312" w:hint="eastAsia"/>
          <w:kern w:val="2"/>
          <w:sz w:val="32"/>
          <w:szCs w:val="32"/>
          <w:highlight w:val="none"/>
        </w:rPr>
        <w:t>）上年度审计报告</w:t>
      </w:r>
      <w:r>
        <w:rPr>
          <w:rFonts w:ascii="楷体_GB2312" w:eastAsia="楷体_GB2312" w:hAnsi="楷体_GB2312" w:cs="楷体_GB2312" w:hint="eastAsia"/>
          <w:kern w:val="2"/>
          <w:sz w:val="32"/>
          <w:szCs w:val="32"/>
          <w:highlight w:val="none"/>
          <w:lang w:eastAsia="zh-CN"/>
        </w:rPr>
        <w:t>查出</w:t>
      </w:r>
      <w:r>
        <w:rPr>
          <w:rFonts w:ascii="楷体_GB2312" w:eastAsia="楷体_GB2312" w:hAnsi="楷体_GB2312" w:cs="楷体_GB2312" w:hint="eastAsia"/>
          <w:kern w:val="2"/>
          <w:sz w:val="32"/>
          <w:szCs w:val="32"/>
          <w:highlight w:val="none"/>
        </w:rPr>
        <w:t>问题整改落实情况</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baseline"/>
        <w:rPr>
          <w:rFonts w:ascii="Times New Roman" w:eastAsia="仿宋_GB2312" w:hAnsi="Times New Roman" w:cs="Times New Roman" w:hint="eastAsia"/>
          <w:b w:val="0"/>
          <w:bCs w:val="0"/>
          <w:kern w:val="2"/>
          <w:sz w:val="32"/>
          <w:szCs w:val="20"/>
          <w:highlight w:val="none"/>
          <w:lang w:val="en-US" w:eastAsia="zh-CN" w:bidi="ar-SA"/>
        </w:rPr>
      </w:pPr>
      <w:r>
        <w:rPr>
          <w:rFonts w:ascii="Times New Roman" w:eastAsia="仿宋_GB2312" w:hAnsi="Times New Roman" w:cs="Times New Roman" w:hint="eastAsia"/>
          <w:b w:val="0"/>
          <w:bCs w:val="0"/>
          <w:kern w:val="2"/>
          <w:sz w:val="32"/>
          <w:szCs w:val="20"/>
          <w:highlight w:val="none"/>
          <w:lang w:val="en-US" w:eastAsia="zh-CN" w:bidi="ar-SA"/>
        </w:rPr>
        <w:t>202</w:t>
      </w:r>
      <w:r>
        <w:rPr>
          <w:rFonts w:eastAsia="仿宋_GB2312" w:cs="Times New Roman" w:hint="eastAsia"/>
          <w:b w:val="0"/>
          <w:bCs w:val="0"/>
          <w:kern w:val="2"/>
          <w:sz w:val="32"/>
          <w:szCs w:val="20"/>
          <w:highlight w:val="none"/>
          <w:lang w:val="en-US" w:eastAsia="zh-CN" w:bidi="ar-SA"/>
        </w:rPr>
        <w:t>1</w:t>
      </w:r>
      <w:r>
        <w:rPr>
          <w:rFonts w:ascii="Times New Roman" w:eastAsia="仿宋_GB2312" w:hAnsi="Times New Roman" w:cs="Times New Roman" w:hint="eastAsia"/>
          <w:b w:val="0"/>
          <w:bCs w:val="0"/>
          <w:kern w:val="2"/>
          <w:sz w:val="32"/>
          <w:szCs w:val="20"/>
          <w:highlight w:val="none"/>
          <w:lang w:val="en-US" w:eastAsia="zh-CN" w:bidi="ar-SA"/>
        </w:rPr>
        <w:t>年度本级财政预算执行及其他财政收支情况审计整改</w:t>
      </w:r>
      <w:r>
        <w:rPr>
          <w:rFonts w:eastAsia="仿宋_GB2312" w:cs="Times New Roman" w:hint="eastAsia"/>
          <w:b w:val="0"/>
          <w:bCs w:val="0"/>
          <w:kern w:val="2"/>
          <w:sz w:val="32"/>
          <w:szCs w:val="20"/>
          <w:highlight w:val="none"/>
          <w:lang w:val="en-US" w:eastAsia="zh-CN" w:bidi="ar-SA"/>
        </w:rPr>
        <w:t>情况如下</w:t>
      </w:r>
      <w:r>
        <w:rPr>
          <w:rFonts w:ascii="Times New Roman" w:eastAsia="仿宋_GB2312" w:hAnsi="Times New Roman" w:cs="Times New Roman" w:hint="eastAsia"/>
          <w:b w:val="0"/>
          <w:bCs w:val="0"/>
          <w:kern w:val="2"/>
          <w:sz w:val="32"/>
          <w:szCs w:val="20"/>
          <w:highlight w:val="none"/>
          <w:lang w:val="en-US" w:eastAsia="zh-CN" w:bidi="ar-SA"/>
        </w:rPr>
        <w:t>：</w:t>
      </w:r>
    </w:p>
    <w:p>
      <w:pPr>
        <w:pStyle w:val="BodyTextFirstIndent2"/>
        <w:keepNext w:val="0"/>
        <w:keepLines w:val="0"/>
        <w:pageBreakBefore w:val="0"/>
        <w:widowControl w:val="0"/>
        <w:kinsoku/>
        <w:wordWrap/>
        <w:overflowPunct/>
        <w:topLinePunct w:val="0"/>
        <w:autoSpaceDE/>
        <w:autoSpaceDN/>
        <w:bidi w:val="0"/>
        <w:adjustRightInd w:val="0"/>
        <w:spacing w:line="560" w:lineRule="exact"/>
        <w:ind w:firstLine="640" w:firstLineChars="200"/>
        <w:jc w:val="both"/>
        <w:textAlignment w:val="baseline"/>
        <w:rPr>
          <w:rFonts w:ascii="仿宋_GB2312" w:eastAsia="仿宋_GB2312" w:hAnsi="Calibri" w:cs="Times New Roman" w:hint="eastAsia"/>
          <w:b/>
          <w:kern w:val="2"/>
          <w:sz w:val="32"/>
          <w:szCs w:val="22"/>
          <w:lang w:val="en-US" w:eastAsia="zh-CN" w:bidi="ar-SA"/>
        </w:rPr>
      </w:pPr>
      <w:r>
        <w:rPr>
          <w:rFonts w:ascii="仿宋_GB2312" w:eastAsia="仿宋_GB2312" w:hAnsi="Calibri" w:cs="Times New Roman" w:hint="eastAsia"/>
          <w:b/>
          <w:kern w:val="2"/>
          <w:sz w:val="32"/>
          <w:szCs w:val="22"/>
          <w:lang w:val="en-US" w:eastAsia="zh-CN" w:bidi="ar-SA"/>
        </w:rPr>
        <w:t>1.非税收入832.06万元，未缴入国库</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ascii="仿宋_GB2312" w:eastAsia="仿宋_GB2312" w:hAnsi="Calibri" w:cs="Times New Roman" w:hint="eastAsia"/>
          <w:b/>
          <w:kern w:val="2"/>
          <w:sz w:val="32"/>
          <w:szCs w:val="22"/>
          <w:lang w:val="en-US" w:eastAsia="zh-CN" w:bidi="ar-SA"/>
        </w:rPr>
      </w:pPr>
      <w:r>
        <w:rPr>
          <w:rFonts w:ascii="仿宋_GB2312" w:eastAsia="仿宋_GB2312" w:hAnsi="Calibri" w:cs="Times New Roman" w:hint="eastAsia"/>
          <w:b/>
          <w:kern w:val="2"/>
          <w:sz w:val="32"/>
          <w:szCs w:val="22"/>
          <w:lang w:val="en-US" w:eastAsia="zh-CN" w:bidi="ar-SA"/>
        </w:rPr>
        <w:t>整改状态：</w:t>
      </w:r>
      <w:r>
        <w:rPr>
          <w:rFonts w:ascii="仿宋_GB2312" w:eastAsia="仿宋_GB2312" w:hAnsi="Calibri" w:cs="Times New Roman" w:hint="eastAsia"/>
          <w:b w:val="0"/>
          <w:bCs/>
          <w:kern w:val="2"/>
          <w:sz w:val="32"/>
          <w:szCs w:val="22"/>
          <w:lang w:val="en-US" w:eastAsia="zh-CN" w:bidi="ar-SA"/>
        </w:rPr>
        <w:t>已完成</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ascii="仿宋_GB2312" w:eastAsia="仿宋_GB2312" w:hAnsi="Calibri" w:cs="Times New Roman" w:hint="eastAsia"/>
          <w:b/>
          <w:kern w:val="2"/>
          <w:sz w:val="32"/>
          <w:szCs w:val="22"/>
          <w:lang w:val="en-US" w:eastAsia="zh-CN" w:bidi="ar-SA"/>
        </w:rPr>
      </w:pPr>
      <w:r>
        <w:rPr>
          <w:rFonts w:ascii="仿宋_GB2312" w:eastAsia="仿宋_GB2312" w:hAnsi="仿宋_GB2312" w:cs="仿宋_GB2312" w:hint="eastAsia"/>
          <w:b/>
          <w:bCs/>
          <w:sz w:val="32"/>
          <w:szCs w:val="32"/>
          <w:lang w:val="en-US" w:eastAsia="zh-CN"/>
        </w:rPr>
        <w:t>整改</w:t>
      </w:r>
      <w:r>
        <w:rPr>
          <w:rFonts w:ascii="仿宋_GB2312" w:eastAsia="仿宋_GB2312" w:hAnsi="Calibri" w:cs="Times New Roman" w:hint="eastAsia"/>
          <w:b/>
          <w:kern w:val="2"/>
          <w:sz w:val="32"/>
          <w:szCs w:val="22"/>
          <w:lang w:val="en-US" w:eastAsia="zh-CN" w:bidi="ar-SA"/>
        </w:rPr>
        <w:t>要求：</w:t>
      </w:r>
      <w:r>
        <w:rPr>
          <w:rFonts w:ascii="Times New Roman" w:eastAsia="仿宋_GB2312" w:hAnsi="Times New Roman" w:cs="Times New Roman" w:hint="eastAsia"/>
          <w:b w:val="0"/>
          <w:bCs w:val="0"/>
          <w:kern w:val="2"/>
          <w:sz w:val="32"/>
          <w:szCs w:val="20"/>
          <w:highlight w:val="none"/>
          <w:lang w:val="en-US" w:eastAsia="zh-CN" w:bidi="ar-SA"/>
        </w:rPr>
        <w:t>财政部门加强非税收入管理，确保非税收入</w:t>
      </w:r>
      <w:r>
        <w:rPr>
          <w:rFonts w:ascii="Times New Roman" w:hAnsi="Times New Roman" w:cs="Times New Roman" w:hint="eastAsia"/>
          <w:b w:val="0"/>
          <w:bCs w:val="0"/>
          <w:kern w:val="2"/>
          <w:sz w:val="32"/>
          <w:szCs w:val="20"/>
          <w:highlight w:val="none"/>
          <w:lang w:val="en-US" w:eastAsia="zh-CN" w:bidi="ar-SA"/>
        </w:rPr>
        <w:t>及时</w:t>
      </w:r>
      <w:r>
        <w:rPr>
          <w:rFonts w:ascii="Times New Roman" w:eastAsia="仿宋_GB2312" w:hAnsi="Times New Roman" w:cs="Times New Roman" w:hint="eastAsia"/>
          <w:b w:val="0"/>
          <w:bCs w:val="0"/>
          <w:kern w:val="2"/>
          <w:sz w:val="32"/>
          <w:szCs w:val="20"/>
          <w:highlight w:val="none"/>
          <w:lang w:val="en-US" w:eastAsia="zh-CN" w:bidi="ar-SA"/>
        </w:rPr>
        <w:t>足额缴入国库</w:t>
      </w:r>
      <w:r>
        <w:rPr>
          <w:rFonts w:eastAsia="仿宋_GB2312" w:cs="Times New Roman" w:hint="eastAsia"/>
          <w:b w:val="0"/>
          <w:bCs w:val="0"/>
          <w:kern w:val="2"/>
          <w:sz w:val="32"/>
          <w:szCs w:val="20"/>
          <w:highlight w:val="none"/>
          <w:lang w:val="en-US" w:eastAsia="zh-CN" w:bidi="ar-SA"/>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ascii="Times New Roman" w:eastAsia="仿宋_GB2312" w:hAnsi="Times New Roman" w:cs="Times New Roman" w:hint="eastAsia"/>
          <w:b w:val="0"/>
          <w:bCs/>
          <w:kern w:val="2"/>
          <w:sz w:val="32"/>
          <w:szCs w:val="20"/>
          <w:highlight w:val="none"/>
          <w:lang w:val="en-US" w:eastAsia="zh-CN" w:bidi="ar-SA"/>
        </w:rPr>
      </w:pPr>
      <w:r>
        <w:rPr>
          <w:rFonts w:ascii="仿宋_GB2312" w:eastAsia="仿宋_GB2312" w:hAnsi="仿宋_GB2312" w:cs="仿宋_GB2312" w:hint="eastAsia"/>
          <w:b/>
          <w:bCs/>
          <w:sz w:val="32"/>
          <w:szCs w:val="32"/>
          <w:lang w:val="en-US" w:eastAsia="zh-CN"/>
        </w:rPr>
        <w:t>整改落实情况</w:t>
      </w:r>
      <w:r>
        <w:rPr>
          <w:rFonts w:ascii="仿宋_GB2312" w:eastAsia="仿宋_GB2312" w:hAnsi="Calibri" w:cs="Times New Roman" w:hint="eastAsia"/>
          <w:b/>
          <w:kern w:val="2"/>
          <w:sz w:val="32"/>
          <w:szCs w:val="22"/>
          <w:lang w:val="en-US" w:eastAsia="zh-CN" w:bidi="ar-SA"/>
        </w:rPr>
        <w:t>：</w:t>
      </w:r>
      <w:r>
        <w:rPr>
          <w:rFonts w:ascii="仿宋_GB2312" w:eastAsia="仿宋_GB2312" w:hAnsi="Calibri" w:cs="Times New Roman" w:hint="eastAsia"/>
          <w:b w:val="0"/>
          <w:bCs/>
          <w:kern w:val="2"/>
          <w:sz w:val="32"/>
          <w:szCs w:val="22"/>
          <w:lang w:val="en-US" w:eastAsia="zh-CN" w:bidi="ar-SA"/>
        </w:rPr>
        <w:t>2022年1月10日已</w:t>
      </w:r>
      <w:r>
        <w:rPr>
          <w:rFonts w:ascii="Times New Roman" w:eastAsia="仿宋_GB2312" w:hAnsi="Times New Roman" w:cs="Times New Roman" w:hint="eastAsia"/>
          <w:b w:val="0"/>
          <w:bCs/>
          <w:kern w:val="2"/>
          <w:sz w:val="32"/>
          <w:szCs w:val="20"/>
          <w:highlight w:val="none"/>
          <w:lang w:val="en-US" w:eastAsia="zh-CN" w:bidi="ar-SA"/>
        </w:rPr>
        <w:t>缴入国库。</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ascii="仿宋_GB2312" w:eastAsia="仿宋_GB2312" w:hAnsi="Calibri" w:cs="Times New Roman" w:hint="eastAsia"/>
          <w:b/>
          <w:kern w:val="2"/>
          <w:sz w:val="32"/>
          <w:szCs w:val="22"/>
          <w:lang w:val="en-US" w:eastAsia="zh-CN" w:bidi="ar-SA"/>
        </w:rPr>
      </w:pPr>
      <w:r>
        <w:rPr>
          <w:rFonts w:ascii="仿宋_GB2312" w:eastAsia="仿宋_GB2312" w:hAnsi="Calibri" w:cs="Times New Roman" w:hint="eastAsia"/>
          <w:b/>
          <w:kern w:val="2"/>
          <w:sz w:val="32"/>
          <w:szCs w:val="22"/>
          <w:lang w:val="en-US" w:eastAsia="zh-CN" w:bidi="ar-SA"/>
        </w:rPr>
        <w:t>2.未及时盘活存量资金，涉及金额275.41万元</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ascii="仿宋_GB2312" w:eastAsia="仿宋_GB2312" w:hAnsi="Calibri" w:cs="Times New Roman" w:hint="eastAsia"/>
          <w:b/>
          <w:kern w:val="2"/>
          <w:sz w:val="32"/>
          <w:szCs w:val="22"/>
          <w:lang w:val="en-US" w:eastAsia="zh-CN" w:bidi="ar-SA"/>
        </w:rPr>
      </w:pPr>
      <w:r>
        <w:rPr>
          <w:rFonts w:ascii="仿宋_GB2312" w:eastAsia="仿宋_GB2312" w:hAnsi="Calibri" w:cs="Times New Roman" w:hint="eastAsia"/>
          <w:b/>
          <w:kern w:val="2"/>
          <w:sz w:val="32"/>
          <w:szCs w:val="22"/>
          <w:lang w:val="en-US" w:eastAsia="zh-CN" w:bidi="ar-SA"/>
        </w:rPr>
        <w:t>整改状态：</w:t>
      </w:r>
      <w:r>
        <w:rPr>
          <w:rFonts w:ascii="仿宋_GB2312" w:eastAsia="仿宋_GB2312" w:hAnsi="Calibri" w:cs="Times New Roman" w:hint="eastAsia"/>
          <w:b w:val="0"/>
          <w:bCs/>
          <w:kern w:val="2"/>
          <w:sz w:val="32"/>
          <w:szCs w:val="22"/>
          <w:lang w:val="en-US" w:eastAsia="zh-CN" w:bidi="ar-SA"/>
        </w:rPr>
        <w:t>已完成</w:t>
      </w:r>
    </w:p>
    <w:p>
      <w:pPr>
        <w:pStyle w:val="NormalWeb"/>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rPr>
          <w:rFonts w:ascii="Times New Roman" w:eastAsia="仿宋_GB2312" w:hAnsi="Times New Roman" w:cs="Times New Roman" w:hint="eastAsia"/>
          <w:b w:val="0"/>
          <w:bCs w:val="0"/>
          <w:kern w:val="2"/>
          <w:sz w:val="32"/>
          <w:szCs w:val="20"/>
          <w:highlight w:val="none"/>
          <w:lang w:val="en-US" w:eastAsia="zh-CN" w:bidi="ar-SA"/>
        </w:rPr>
      </w:pPr>
      <w:r>
        <w:rPr>
          <w:rFonts w:ascii="仿宋_GB2312" w:eastAsia="仿宋_GB2312" w:hAnsi="仿宋_GB2312" w:cs="仿宋_GB2312" w:hint="eastAsia"/>
          <w:b/>
          <w:bCs/>
          <w:sz w:val="32"/>
          <w:szCs w:val="32"/>
          <w:lang w:val="en-US" w:eastAsia="zh-CN"/>
        </w:rPr>
        <w:t>整改</w:t>
      </w:r>
      <w:r>
        <w:rPr>
          <w:rFonts w:ascii="仿宋_GB2312" w:eastAsia="仿宋_GB2312" w:hAnsi="Calibri" w:cs="Times New Roman" w:hint="eastAsia"/>
          <w:b/>
          <w:kern w:val="2"/>
          <w:sz w:val="32"/>
          <w:szCs w:val="22"/>
          <w:lang w:val="en-US" w:eastAsia="zh-CN" w:bidi="ar-SA"/>
        </w:rPr>
        <w:t>要求：</w:t>
      </w:r>
      <w:r>
        <w:rPr>
          <w:rFonts w:ascii="Times New Roman" w:eastAsia="仿宋_GB2312" w:hAnsi="Times New Roman" w:cs="Times New Roman" w:hint="eastAsia"/>
          <w:b w:val="0"/>
          <w:bCs w:val="0"/>
          <w:kern w:val="2"/>
          <w:sz w:val="32"/>
          <w:szCs w:val="20"/>
          <w:highlight w:val="none"/>
          <w:lang w:val="en-US" w:eastAsia="zh-CN" w:bidi="ar-SA"/>
        </w:rPr>
        <w:t>将小额担保资金所产生的利息275.41万元收缴国库。</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ascii="仿宋_GB2312" w:eastAsia="仿宋_GB2312" w:cs="Times New Roman" w:hint="eastAsia"/>
          <w:b w:val="0"/>
          <w:bCs/>
          <w:kern w:val="2"/>
          <w:sz w:val="32"/>
          <w:szCs w:val="22"/>
          <w:lang w:val="en-US" w:eastAsia="zh-CN" w:bidi="ar-SA"/>
        </w:rPr>
      </w:pPr>
      <w:r>
        <w:rPr>
          <w:rFonts w:ascii="仿宋_GB2312" w:eastAsia="仿宋_GB2312" w:hAnsi="Calibri" w:cs="Times New Roman" w:hint="eastAsia"/>
          <w:b/>
          <w:kern w:val="2"/>
          <w:sz w:val="32"/>
          <w:szCs w:val="22"/>
          <w:lang w:val="en-US" w:eastAsia="zh-CN" w:bidi="ar-SA"/>
        </w:rPr>
        <w:t>整改落实情况：</w:t>
      </w:r>
      <w:r>
        <w:rPr>
          <w:rFonts w:ascii="仿宋_GB2312" w:eastAsia="仿宋_GB2312" w:cs="Times New Roman" w:hint="eastAsia"/>
          <w:b w:val="0"/>
          <w:bCs/>
          <w:kern w:val="2"/>
          <w:sz w:val="32"/>
          <w:szCs w:val="22"/>
          <w:lang w:val="en-US" w:eastAsia="zh-CN" w:bidi="ar-SA"/>
        </w:rPr>
        <w:t>2022年11月30日已缴入国库。</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baseline"/>
        <w:rPr>
          <w:rFonts w:ascii="Times New Roman" w:eastAsia="仿宋_GB2312" w:hAnsi="Times New Roman" w:cs="Times New Roman" w:hint="eastAsia"/>
          <w:b/>
          <w:bCs/>
          <w:kern w:val="2"/>
          <w:sz w:val="32"/>
          <w:szCs w:val="20"/>
          <w:highlight w:val="none"/>
          <w:lang w:val="en-US" w:eastAsia="zh-CN" w:bidi="ar-SA"/>
        </w:rPr>
      </w:pPr>
      <w:r>
        <w:rPr>
          <w:rFonts w:cs="Times New Roman" w:hint="eastAsia"/>
          <w:b/>
          <w:bCs/>
          <w:kern w:val="2"/>
          <w:sz w:val="32"/>
          <w:szCs w:val="20"/>
          <w:highlight w:val="none"/>
          <w:lang w:val="en-US" w:eastAsia="zh-CN" w:bidi="ar-SA"/>
        </w:rPr>
        <w:t>3</w:t>
      </w:r>
      <w:r>
        <w:rPr>
          <w:rFonts w:eastAsia="仿宋_GB2312" w:cs="Times New Roman" w:hint="eastAsia"/>
          <w:b/>
          <w:bCs/>
          <w:kern w:val="2"/>
          <w:sz w:val="32"/>
          <w:szCs w:val="20"/>
          <w:highlight w:val="none"/>
          <w:lang w:val="en-US" w:eastAsia="zh-CN" w:bidi="ar-SA"/>
        </w:rPr>
        <w:t>.</w:t>
      </w:r>
      <w:r>
        <w:rPr>
          <w:rFonts w:ascii="Times New Roman" w:eastAsia="仿宋_GB2312" w:hAnsi="Times New Roman" w:cs="Times New Roman" w:hint="eastAsia"/>
          <w:b/>
          <w:bCs/>
          <w:kern w:val="2"/>
          <w:sz w:val="32"/>
          <w:szCs w:val="20"/>
          <w:highlight w:val="none"/>
          <w:lang w:val="en-US" w:eastAsia="zh-CN" w:bidi="ar-SA"/>
        </w:rPr>
        <w:t>乌苏市自然资源局2021年应收未收非税收入</w:t>
      </w:r>
      <w:r>
        <w:rPr>
          <w:rFonts w:cs="Times New Roman" w:hint="eastAsia"/>
          <w:b/>
          <w:bCs/>
          <w:kern w:val="2"/>
          <w:sz w:val="32"/>
          <w:szCs w:val="20"/>
          <w:highlight w:val="none"/>
          <w:lang w:val="en-US" w:eastAsia="zh-CN" w:bidi="ar-SA"/>
        </w:rPr>
        <w:t>4286.43</w:t>
      </w:r>
      <w:r>
        <w:rPr>
          <w:rFonts w:ascii="Times New Roman" w:eastAsia="仿宋_GB2312" w:hAnsi="Times New Roman" w:cs="Times New Roman" w:hint="eastAsia"/>
          <w:b/>
          <w:bCs/>
          <w:kern w:val="2"/>
          <w:sz w:val="32"/>
          <w:szCs w:val="20"/>
          <w:highlight w:val="none"/>
          <w:lang w:val="en-US" w:eastAsia="zh-CN" w:bidi="ar-SA"/>
        </w:rPr>
        <w:t>万元</w:t>
      </w:r>
    </w:p>
    <w:p>
      <w:pPr>
        <w:keepNext w:val="0"/>
        <w:keepLines w:val="0"/>
        <w:pageBreakBefore w:val="0"/>
        <w:widowControl w:val="0"/>
        <w:numPr>
          <w:ilvl w:val="0"/>
          <w:numId w:val="0"/>
        </w:numPr>
        <w:tabs>
          <w:tab w:val="center" w:pos="4422"/>
        </w:tabs>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仿宋_GB2312" w:cs="仿宋_GB2312" w:hint="eastAsia"/>
          <w:sz w:val="32"/>
          <w:szCs w:val="32"/>
          <w:highlight w:val="none"/>
          <w:lang w:val="en-US" w:eastAsia="zh-CN"/>
        </w:rPr>
      </w:pPr>
      <w:r>
        <w:rPr>
          <w:rFonts w:ascii="仿宋_GB2312" w:eastAsia="仿宋_GB2312" w:hAnsi="仿宋_GB2312" w:cs="仿宋_GB2312" w:hint="eastAsia"/>
          <w:b/>
          <w:bCs/>
          <w:sz w:val="32"/>
          <w:szCs w:val="32"/>
          <w:highlight w:val="none"/>
          <w:lang w:val="en-US" w:eastAsia="zh-CN"/>
        </w:rPr>
        <w:t>整改状态：</w:t>
      </w:r>
      <w:r>
        <w:rPr>
          <w:rFonts w:ascii="仿宋_GB2312" w:eastAsia="仿宋_GB2312" w:hAnsi="仿宋_GB2312" w:cs="仿宋_GB2312" w:hint="eastAsia"/>
          <w:sz w:val="32"/>
          <w:szCs w:val="32"/>
          <w:highlight w:val="none"/>
          <w:lang w:val="en-US" w:eastAsia="zh-CN"/>
        </w:rPr>
        <w:t>正在整改</w:t>
      </w:r>
    </w:p>
    <w:p>
      <w:pPr>
        <w:keepNext w:val="0"/>
        <w:keepLines w:val="0"/>
        <w:pageBreakBefore w:val="0"/>
        <w:widowControl w:val="0"/>
        <w:numPr>
          <w:ilvl w:val="0"/>
          <w:numId w:val="0"/>
        </w:numPr>
        <w:tabs>
          <w:tab w:val="center" w:pos="4422"/>
        </w:tabs>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hAnsi="仿宋_GB2312" w:cs="仿宋_GB2312" w:hint="eastAsia"/>
          <w:sz w:val="32"/>
          <w:szCs w:val="32"/>
          <w:highlight w:val="none"/>
          <w:lang w:val="en-US" w:eastAsia="zh-CN"/>
        </w:rPr>
      </w:pPr>
      <w:r>
        <w:rPr>
          <w:rFonts w:ascii="仿宋_GB2312" w:eastAsia="仿宋_GB2312" w:hAnsi="仿宋_GB2312" w:cs="仿宋_GB2312" w:hint="eastAsia"/>
          <w:b/>
          <w:bCs/>
          <w:sz w:val="32"/>
          <w:szCs w:val="32"/>
          <w:highlight w:val="none"/>
          <w:lang w:val="en-US" w:eastAsia="zh-CN"/>
        </w:rPr>
        <w:t>整改要求：</w:t>
      </w:r>
      <w:r>
        <w:rPr>
          <w:rFonts w:ascii="Times New Roman" w:eastAsia="仿宋_GB2312" w:hAnsi="Times New Roman" w:cs="Times New Roman" w:hint="eastAsia"/>
          <w:b w:val="0"/>
          <w:bCs w:val="0"/>
          <w:kern w:val="2"/>
          <w:sz w:val="32"/>
          <w:szCs w:val="20"/>
          <w:highlight w:val="none"/>
          <w:lang w:val="en-US" w:eastAsia="zh-CN" w:bidi="ar-SA"/>
        </w:rPr>
        <w:t>财政部门督促乌苏市自然资源局加强非税收入管理，确保非税收入应收尽收，并及时缴入国库。</w:t>
      </w:r>
      <w:r>
        <w:rPr>
          <w:rFonts w:ascii="仿宋_GB2312" w:eastAsia="仿宋_GB2312" w:hAnsi="仿宋_GB2312" w:cs="仿宋_GB2312" w:hint="eastAsia"/>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baseline"/>
        <w:rPr>
          <w:rFonts w:ascii="Times New Roman" w:eastAsia="仿宋_GB2312" w:hAnsi="Times New Roman" w:cs="Times New Roman" w:hint="eastAsia"/>
          <w:b w:val="0"/>
          <w:bCs w:val="0"/>
          <w:kern w:val="2"/>
          <w:sz w:val="32"/>
          <w:szCs w:val="20"/>
          <w:highlight w:val="none"/>
          <w:lang w:val="en-US" w:eastAsia="zh-CN" w:bidi="ar-SA"/>
        </w:rPr>
      </w:pPr>
      <w:r>
        <w:rPr>
          <w:rFonts w:ascii="仿宋_GB2312" w:eastAsia="仿宋_GB2312" w:hAnsi="仿宋_GB2312" w:cs="仿宋_GB2312" w:hint="eastAsia"/>
          <w:b/>
          <w:bCs/>
          <w:sz w:val="32"/>
          <w:szCs w:val="32"/>
          <w:highlight w:val="none"/>
          <w:lang w:val="en-US" w:eastAsia="zh-CN"/>
        </w:rPr>
        <w:t>整改落实情况：</w:t>
      </w:r>
      <w:r>
        <w:rPr>
          <w:rFonts w:ascii="仿宋_GB2312" w:hAnsi="仿宋_GB2312" w:cs="仿宋_GB2312" w:hint="eastAsia"/>
          <w:b w:val="0"/>
          <w:bCs w:val="0"/>
          <w:sz w:val="32"/>
          <w:szCs w:val="32"/>
          <w:highlight w:val="none"/>
          <w:lang w:val="en-US" w:eastAsia="zh-CN"/>
        </w:rPr>
        <w:t>一是</w:t>
      </w:r>
      <w:r>
        <w:rPr>
          <w:rFonts w:ascii="Times New Roman" w:eastAsia="仿宋_GB2312" w:hAnsi="Times New Roman" w:cs="Times New Roman" w:hint="eastAsia"/>
          <w:b w:val="0"/>
          <w:bCs w:val="0"/>
          <w:kern w:val="2"/>
          <w:sz w:val="32"/>
          <w:szCs w:val="20"/>
          <w:highlight w:val="none"/>
          <w:lang w:val="en-US" w:eastAsia="zh-CN" w:bidi="ar-SA"/>
        </w:rPr>
        <w:t>2021年乌苏市自然资源局挂牌出让25宗土地</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应收土地出让金2</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2</w:t>
      </w:r>
      <w:r>
        <w:rPr>
          <w:rFonts w:cs="Times New Roman" w:hint="eastAsia"/>
          <w:b w:val="0"/>
          <w:bCs w:val="0"/>
          <w:kern w:val="2"/>
          <w:sz w:val="32"/>
          <w:szCs w:val="20"/>
          <w:highlight w:val="none"/>
          <w:lang w:val="en-US" w:eastAsia="zh-CN" w:bidi="ar-SA"/>
        </w:rPr>
        <w:t>8</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kern w:val="2"/>
          <w:sz w:val="32"/>
          <w:szCs w:val="20"/>
          <w:highlight w:val="none"/>
          <w:lang w:val="en-US" w:eastAsia="zh-CN" w:bidi="ar-SA"/>
        </w:rPr>
        <w:t>元</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已收1</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8</w:t>
      </w:r>
      <w:r>
        <w:rPr>
          <w:rFonts w:cs="Times New Roman" w:hint="eastAsia"/>
          <w:b w:val="0"/>
          <w:bCs w:val="0"/>
          <w:kern w:val="2"/>
          <w:sz w:val="32"/>
          <w:szCs w:val="20"/>
          <w:highlight w:val="none"/>
          <w:lang w:val="en-US" w:eastAsia="zh-CN" w:bidi="ar-SA"/>
        </w:rPr>
        <w:t>6</w:t>
      </w:r>
      <w:r>
        <w:rPr>
          <w:rFonts w:cs="Times New Roman" w:hint="eastAsia"/>
          <w:b w:val="0"/>
          <w:bCs w:val="0"/>
          <w:sz w:val="32"/>
          <w:szCs w:val="20"/>
          <w:highlight w:val="none"/>
          <w:lang w:val="en-US" w:eastAsia="zh-CN"/>
        </w:rPr>
        <w:t>亿</w:t>
      </w:r>
      <w:r>
        <w:rPr>
          <w:rFonts w:ascii="Times New Roman" w:eastAsia="仿宋_GB2312" w:hAnsi="Times New Roman" w:cs="Times New Roman" w:hint="eastAsia"/>
          <w:b w:val="0"/>
          <w:bCs w:val="0"/>
          <w:kern w:val="2"/>
          <w:sz w:val="32"/>
          <w:szCs w:val="20"/>
          <w:highlight w:val="none"/>
          <w:lang w:val="en-US" w:eastAsia="zh-CN" w:bidi="ar-SA"/>
        </w:rPr>
        <w:t>元</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已全额上缴财政</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应收未收4259.11万元</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涉及七家企业。截至目前未整改。</w:t>
      </w:r>
      <w:r>
        <w:rPr>
          <w:rFonts w:cs="Times New Roman" w:hint="eastAsia"/>
          <w:b w:val="0"/>
          <w:bCs w:val="0"/>
          <w:kern w:val="2"/>
          <w:sz w:val="32"/>
          <w:szCs w:val="20"/>
          <w:highlight w:val="none"/>
          <w:lang w:val="en-US" w:eastAsia="zh-CN" w:bidi="ar-SA"/>
        </w:rPr>
        <w:t>二是</w:t>
      </w:r>
      <w:r>
        <w:rPr>
          <w:rFonts w:ascii="Times New Roman" w:eastAsia="仿宋_GB2312" w:hAnsi="Times New Roman" w:cs="Times New Roman" w:hint="eastAsia"/>
          <w:b w:val="0"/>
          <w:bCs w:val="0"/>
          <w:kern w:val="2"/>
          <w:sz w:val="32"/>
          <w:szCs w:val="20"/>
          <w:highlight w:val="none"/>
          <w:lang w:val="en-US" w:eastAsia="zh-CN" w:bidi="ar-SA"/>
        </w:rPr>
        <w:t>2021年通过土地划拨的形式，划拨18宗土地，应收土地补偿费251.79万元，已收</w:t>
      </w:r>
      <w:r>
        <w:rPr>
          <w:rFonts w:eastAsia="仿宋_GB2312" w:cs="Times New Roman" w:hint="eastAsia"/>
          <w:b w:val="0"/>
          <w:bCs w:val="0"/>
          <w:kern w:val="2"/>
          <w:sz w:val="32"/>
          <w:szCs w:val="20"/>
          <w:highlight w:val="none"/>
          <w:lang w:val="en-US" w:eastAsia="zh-CN" w:bidi="ar-SA"/>
        </w:rPr>
        <w:t>224.47</w:t>
      </w:r>
      <w:r>
        <w:rPr>
          <w:rFonts w:ascii="Times New Roman" w:eastAsia="仿宋_GB2312" w:hAnsi="Times New Roman" w:cs="Times New Roman" w:hint="eastAsia"/>
          <w:b w:val="0"/>
          <w:bCs w:val="0"/>
          <w:kern w:val="2"/>
          <w:sz w:val="32"/>
          <w:szCs w:val="20"/>
          <w:highlight w:val="none"/>
          <w:lang w:val="en-US" w:eastAsia="zh-CN" w:bidi="ar-SA"/>
        </w:rPr>
        <w:t>万元，</w:t>
      </w:r>
      <w:r>
        <w:rPr>
          <w:rFonts w:eastAsia="仿宋_GB2312" w:cs="Times New Roman" w:hint="eastAsia"/>
          <w:b w:val="0"/>
          <w:bCs w:val="0"/>
          <w:kern w:val="2"/>
          <w:sz w:val="32"/>
          <w:szCs w:val="20"/>
          <w:highlight w:val="none"/>
          <w:lang w:val="en-US" w:eastAsia="zh-CN" w:bidi="ar-SA"/>
        </w:rPr>
        <w:t>并</w:t>
      </w:r>
      <w:r>
        <w:rPr>
          <w:rFonts w:ascii="Times New Roman" w:eastAsia="仿宋_GB2312" w:hAnsi="Times New Roman" w:cs="Times New Roman" w:hint="eastAsia"/>
          <w:b w:val="0"/>
          <w:bCs w:val="0"/>
          <w:kern w:val="2"/>
          <w:sz w:val="32"/>
          <w:szCs w:val="20"/>
          <w:highlight w:val="none"/>
          <w:lang w:val="en-US" w:eastAsia="zh-CN" w:bidi="ar-SA"/>
        </w:rPr>
        <w:t>全额上缴财政，未整改27.32万元。</w:t>
      </w:r>
    </w:p>
    <w:p>
      <w:pPr>
        <w:pStyle w:val="Heading1"/>
        <w:keepNext w:val="0"/>
        <w:keepLines w:val="0"/>
        <w:pageBreakBefore w:val="0"/>
        <w:widowControl w:val="0"/>
        <w:kinsoku/>
        <w:wordWrap/>
        <w:overflowPunct/>
        <w:topLinePunct w:val="0"/>
        <w:autoSpaceDE/>
        <w:autoSpaceDN/>
        <w:bidi w:val="0"/>
        <w:adjustRightInd w:val="0"/>
        <w:spacing w:before="0" w:beforeAutospacing="0" w:after="0" w:afterAutospacing="0" w:line="560" w:lineRule="exact"/>
        <w:ind w:firstLine="640" w:firstLineChars="200"/>
        <w:jc w:val="both"/>
        <w:textAlignment w:val="baseline"/>
        <w:rPr>
          <w:rFonts w:ascii="黑体" w:eastAsia="黑体" w:hAnsi="黑体" w:cs="黑体" w:hint="eastAsia"/>
          <w:b w:val="0"/>
          <w:kern w:val="2"/>
          <w:sz w:val="32"/>
          <w:szCs w:val="32"/>
        </w:rPr>
      </w:pPr>
      <w:r>
        <w:rPr>
          <w:rFonts w:ascii="黑体" w:eastAsia="黑体" w:hAnsi="黑体" w:cs="黑体" w:hint="eastAsia"/>
          <w:b w:val="0"/>
          <w:kern w:val="2"/>
          <w:sz w:val="32"/>
          <w:szCs w:val="32"/>
        </w:rPr>
        <w:t>五、审计建议</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baseline"/>
        <w:rPr>
          <w:rFonts w:ascii="Times New Roman" w:eastAsia="仿宋_GB2312" w:hAnsi="Times New Roman" w:cs="Times New Roman" w:hint="eastAsia"/>
          <w:b w:val="0"/>
          <w:bCs w:val="0"/>
          <w:kern w:val="2"/>
          <w:sz w:val="32"/>
          <w:szCs w:val="20"/>
          <w:highlight w:val="none"/>
          <w:lang w:val="en-US" w:eastAsia="zh-CN" w:bidi="ar-SA"/>
        </w:rPr>
      </w:pPr>
      <w:r>
        <w:rPr>
          <w:rFonts w:ascii="Times New Roman" w:eastAsia="仿宋_GB2312" w:hAnsi="Times New Roman" w:cs="Times New Roman" w:hint="eastAsia"/>
          <w:b w:val="0"/>
          <w:bCs w:val="0"/>
          <w:kern w:val="2"/>
          <w:sz w:val="32"/>
          <w:szCs w:val="20"/>
          <w:highlight w:val="none"/>
          <w:lang w:val="en-US" w:eastAsia="zh-CN" w:bidi="ar-SA"/>
        </w:rPr>
        <w:t>1</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加强预算管理</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强化预算约束</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维护预算的严肃性。预算一经确定后</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原则上不得改变</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要严格按照预算执行</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不能无预算、超预算支出</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提高预算执行率。</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baseline"/>
        <w:rPr>
          <w:rFonts w:ascii="Times New Roman" w:eastAsia="仿宋_GB2312" w:hAnsi="Times New Roman" w:cs="Times New Roman" w:hint="eastAsia"/>
          <w:b w:val="0"/>
          <w:bCs w:val="0"/>
          <w:kern w:val="2"/>
          <w:sz w:val="32"/>
          <w:szCs w:val="20"/>
          <w:highlight w:val="none"/>
          <w:lang w:val="en-US" w:eastAsia="zh-CN" w:bidi="ar-SA"/>
        </w:rPr>
      </w:pPr>
      <w:r>
        <w:rPr>
          <w:rFonts w:ascii="Times New Roman" w:eastAsia="仿宋_GB2312" w:hAnsi="Times New Roman" w:cs="Times New Roman" w:hint="eastAsia"/>
          <w:b w:val="0"/>
          <w:bCs w:val="0"/>
          <w:kern w:val="2"/>
          <w:sz w:val="32"/>
          <w:szCs w:val="20"/>
          <w:highlight w:val="none"/>
          <w:lang w:val="en-US" w:eastAsia="zh-CN" w:bidi="ar-SA"/>
        </w:rPr>
        <w:t>2</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进一步加强预算收支管理</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提高预算资金使用绩效。一是对本级预算安排、上级专项资金、转移支付资金安排的各项支出</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严格按预算执行；二是规范财政收支行为</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加大财政资金统筹力度和存量资金、资产整合盘活力度</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提高预算资金使用绩效。</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baseline"/>
        <w:rPr>
          <w:rFonts w:ascii="Times New Roman" w:eastAsia="仿宋_GB2312" w:hAnsi="Times New Roman" w:cs="Times New Roman" w:hint="eastAsia"/>
          <w:b w:val="0"/>
          <w:bCs w:val="0"/>
          <w:kern w:val="2"/>
          <w:sz w:val="32"/>
          <w:szCs w:val="20"/>
          <w:highlight w:val="none"/>
          <w:lang w:val="en-US" w:eastAsia="zh-CN" w:bidi="ar-SA"/>
        </w:rPr>
      </w:pPr>
      <w:r>
        <w:rPr>
          <w:rFonts w:ascii="Times New Roman" w:eastAsia="仿宋_GB2312" w:hAnsi="Times New Roman" w:cs="Times New Roman" w:hint="eastAsia"/>
          <w:b w:val="0"/>
          <w:bCs w:val="0"/>
          <w:kern w:val="2"/>
          <w:sz w:val="32"/>
          <w:szCs w:val="20"/>
          <w:highlight w:val="none"/>
          <w:lang w:val="en-US" w:eastAsia="zh-CN" w:bidi="ar-SA"/>
        </w:rPr>
        <w:t>3</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加强非税收入监督管理</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确保非税收入应缴尽缴</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充分发挥财政资金使用效益。</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baseline"/>
        <w:rPr>
          <w:lang w:val="en-US" w:eastAsia="zh-CN"/>
        </w:rPr>
      </w:pPr>
      <w:r>
        <w:rPr>
          <w:rFonts w:cs="Times New Roman" w:hint="eastAsia"/>
          <w:b w:val="0"/>
          <w:bCs w:val="0"/>
          <w:kern w:val="2"/>
          <w:sz w:val="32"/>
          <w:szCs w:val="20"/>
          <w:highlight w:val="none"/>
          <w:lang w:val="en-US" w:eastAsia="zh-CN" w:bidi="ar-SA"/>
        </w:rPr>
        <w:t>4.</w:t>
      </w:r>
      <w:r>
        <w:rPr>
          <w:rFonts w:ascii="Times New Roman" w:eastAsia="仿宋_GB2312" w:hAnsi="Times New Roman" w:cs="Times New Roman" w:hint="eastAsia"/>
          <w:b w:val="0"/>
          <w:bCs w:val="0"/>
          <w:kern w:val="2"/>
          <w:sz w:val="32"/>
          <w:szCs w:val="20"/>
          <w:highlight w:val="none"/>
          <w:lang w:val="en-US" w:eastAsia="zh-CN" w:bidi="ar-SA"/>
        </w:rPr>
        <w:t>强化整改工作</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压实整改责任。充分认识审计整改工作的重要性</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增强审计整改的自觉性和主动性</w:t>
      </w:r>
      <w:r>
        <w:rPr>
          <w:rFonts w:cs="Times New Roman" w:hint="eastAsia"/>
          <w:b w:val="0"/>
          <w:bCs w:val="0"/>
          <w:kern w:val="2"/>
          <w:sz w:val="32"/>
          <w:szCs w:val="20"/>
          <w:highlight w:val="none"/>
          <w:lang w:val="en-US" w:eastAsia="zh-CN" w:bidi="ar-SA"/>
        </w:rPr>
        <w:t>，</w:t>
      </w:r>
      <w:r>
        <w:rPr>
          <w:rFonts w:ascii="Times New Roman" w:eastAsia="仿宋_GB2312" w:hAnsi="Times New Roman" w:cs="Times New Roman" w:hint="eastAsia"/>
          <w:b w:val="0"/>
          <w:bCs w:val="0"/>
          <w:kern w:val="2"/>
          <w:sz w:val="32"/>
          <w:szCs w:val="20"/>
          <w:highlight w:val="none"/>
          <w:lang w:val="en-US" w:eastAsia="zh-CN" w:bidi="ar-SA"/>
        </w:rPr>
        <w:t>提高整改质量和实效。</w:t>
      </w:r>
    </w:p>
    <w:p>
      <w:pPr>
        <w:keepNext w:val="0"/>
        <w:keepLines w:val="0"/>
        <w:pageBreakBefore w:val="0"/>
        <w:kinsoku/>
        <w:wordWrap/>
        <w:overflowPunct/>
        <w:topLinePunct w:val="0"/>
        <w:autoSpaceDE/>
        <w:autoSpaceDN/>
        <w:bidi w:val="0"/>
        <w:spacing w:line="560" w:lineRule="exact"/>
        <w:rPr>
          <w:rFonts w:eastAsia="仿宋_GB2312" w:hint="eastAsia"/>
          <w:lang w:eastAsia="zh-CN"/>
        </w:rPr>
      </w:pPr>
    </w:p>
    <w:p>
      <w:pPr>
        <w:pStyle w:val="FootnoteText"/>
        <w:keepNext w:val="0"/>
        <w:keepLines w:val="0"/>
        <w:pageBreakBefore w:val="0"/>
        <w:kinsoku/>
        <w:wordWrap/>
        <w:overflowPunct/>
        <w:topLinePunct w:val="0"/>
        <w:autoSpaceDE/>
        <w:autoSpaceDN/>
        <w:bidi w:val="0"/>
        <w:spacing w:line="560" w:lineRule="exact"/>
      </w:pPr>
    </w:p>
    <w:p>
      <w:pPr>
        <w:pStyle w:val="BodyTextFirstIndent2"/>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baseline"/>
        <w:rPr>
          <w:rFonts w:ascii="仿宋_GB2312" w:hAnsi="仿宋_GB2312" w:cs="仿宋_GB2312" w:hint="eastAsia"/>
          <w:sz w:val="32"/>
          <w:szCs w:val="32"/>
          <w:lang w:val="en-US" w:eastAsia="zh-CN"/>
        </w:rPr>
      </w:pPr>
      <w:r>
        <w:rPr>
          <w:rFonts w:ascii="仿宋_GB2312" w:hAnsi="仿宋_GB2312" w:cs="仿宋_GB2312" w:hint="eastAsia"/>
          <w:sz w:val="32"/>
          <w:szCs w:val="32"/>
          <w:lang w:val="en-US" w:eastAsia="zh-CN"/>
        </w:rPr>
        <w:t xml:space="preserve">                   乌苏市审计局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baseline"/>
        <w:rPr>
          <w:rFonts w:ascii="仿宋_GB2312" w:hAnsi="仿宋_GB2312" w:cs="仿宋_GB2312" w:hint="eastAsia"/>
          <w:sz w:val="32"/>
          <w:szCs w:val="32"/>
          <w:lang w:val="en-US" w:eastAsia="zh-CN"/>
        </w:rPr>
      </w:pPr>
      <w:r>
        <w:rPr>
          <w:rFonts w:ascii="仿宋_GB2312" w:hAnsi="仿宋_GB2312" w:cs="仿宋_GB2312" w:hint="eastAsia"/>
          <w:sz w:val="32"/>
          <w:szCs w:val="32"/>
          <w:lang w:val="en-US" w:eastAsia="zh-CN"/>
        </w:rPr>
        <w:t xml:space="preserve">                    2023年8月3日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baseline"/>
        <w:rPr>
          <w:rFonts w:ascii="仿宋_GB2312" w:hAnsi="仿宋_GB2312" w:cs="仿宋_GB2312" w:hint="eastAsia"/>
          <w:sz w:val="32"/>
          <w:szCs w:val="32"/>
          <w:lang w:val="en-US" w:eastAsia="zh-CN"/>
        </w:rPr>
      </w:pPr>
      <w:r>
        <w:rPr>
          <w:rFonts w:ascii="仿宋_GB2312" w:hAnsi="仿宋_GB2312" w:cs="仿宋_GB2312" w:hint="eastAsia"/>
          <w:sz w:val="32"/>
          <w:szCs w:val="32"/>
          <w:lang w:val="en-US" w:eastAsia="zh-CN"/>
        </w:rPr>
        <w:t xml:space="preserve">            </w:t>
      </w:r>
    </w:p>
    <w:p>
      <w:pPr>
        <w:pStyle w:val="Heading3"/>
        <w:rPr>
          <w:rFonts w:ascii="仿宋_GB2312" w:hAnsi="仿宋_GB2312" w:cs="仿宋_GB2312" w:hint="eastAsia"/>
          <w:sz w:val="32"/>
          <w:szCs w:val="32"/>
          <w:lang w:val="en-US" w:eastAsia="zh-CN"/>
        </w:rPr>
      </w:pPr>
    </w:p>
    <w:p>
      <w:pPr>
        <w:rPr>
          <w:rFonts w:ascii="仿宋_GB2312" w:hAnsi="仿宋_GB2312" w:cs="仿宋_GB2312" w:hint="eastAsia"/>
          <w:sz w:val="32"/>
          <w:szCs w:val="32"/>
          <w:lang w:val="en-US" w:eastAsia="zh-CN"/>
        </w:rPr>
      </w:pPr>
    </w:p>
    <w:p>
      <w:pPr>
        <w:pStyle w:val="Heading3"/>
        <w:rPr>
          <w:rFonts w:ascii="仿宋_GB2312" w:hAnsi="仿宋_GB2312" w:cs="仿宋_GB2312" w:hint="eastAsia"/>
          <w:sz w:val="32"/>
          <w:szCs w:val="32"/>
          <w:lang w:val="en-US" w:eastAsia="zh-CN"/>
        </w:rPr>
      </w:pPr>
    </w:p>
    <w:p>
      <w:pPr>
        <w:rPr>
          <w:rFonts w:ascii="仿宋_GB2312" w:hAnsi="仿宋_GB2312" w:cs="仿宋_GB2312" w:hint="eastAsia"/>
          <w:sz w:val="32"/>
          <w:szCs w:val="32"/>
          <w:lang w:val="en-US" w:eastAsia="zh-CN"/>
        </w:rPr>
      </w:pPr>
    </w:p>
    <w:p>
      <w:pPr>
        <w:pStyle w:val="Heading3"/>
        <w:rPr>
          <w:rFonts w:ascii="仿宋_GB2312" w:hAnsi="仿宋_GB2312" w:cs="仿宋_GB2312" w:hint="eastAsia"/>
          <w:sz w:val="32"/>
          <w:szCs w:val="32"/>
          <w:lang w:val="en-US" w:eastAsia="zh-CN"/>
        </w:rPr>
      </w:pPr>
    </w:p>
    <w:p>
      <w:pPr>
        <w:rPr>
          <w:rFonts w:ascii="仿宋_GB2312" w:hAnsi="仿宋_GB2312" w:cs="仿宋_GB2312" w:hint="eastAsia"/>
          <w:sz w:val="32"/>
          <w:szCs w:val="32"/>
          <w:lang w:val="en-US" w:eastAsia="zh-CN"/>
        </w:rPr>
      </w:pPr>
    </w:p>
    <w:p>
      <w:pPr>
        <w:pStyle w:val="Heading3"/>
        <w:rPr>
          <w:rFonts w:ascii="仿宋_GB2312" w:hAnsi="仿宋_GB2312" w:cs="仿宋_GB2312" w:hint="eastAsia"/>
          <w:sz w:val="32"/>
          <w:szCs w:val="32"/>
          <w:lang w:val="en-US" w:eastAsia="zh-CN"/>
        </w:rPr>
      </w:pPr>
    </w:p>
    <w:p>
      <w:pPr>
        <w:pStyle w:val="Heading3"/>
        <w:rPr>
          <w:rFonts w:ascii="仿宋_GB2312" w:hAnsi="仿宋_GB2312" w:cs="仿宋_GB2312" w:hint="eastAsia"/>
          <w:sz w:val="32"/>
          <w:szCs w:val="32"/>
          <w:lang w:val="en-US" w:eastAsia="zh-CN"/>
        </w:rPr>
      </w:pPr>
    </w:p>
    <w:p>
      <w:pPr>
        <w:rPr>
          <w:rFonts w:hint="eastAsia"/>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hAnsi="仿宋_GB2312" w:cs="仿宋_GB2312" w:hint="default"/>
          <w:sz w:val="28"/>
          <w:szCs w:val="28"/>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18415</wp:posOffset>
                </wp:positionV>
                <wp:extent cx="5781675" cy="635"/>
                <wp:effectExtent l="0" t="0" r="0" b="0"/>
                <wp:wrapNone/>
                <wp:docPr id="4" name="直接连接符 4"/>
                <wp:cNvGraphicFramePr/>
                <a:graphic xmlns:a="http://schemas.openxmlformats.org/drawingml/2006/main">
                  <a:graphicData uri="http://schemas.microsoft.com/office/word/2010/wordprocessingShape">
                    <wps:wsp xmlns:wps="http://schemas.microsoft.com/office/word/2010/wordprocessingShape">
                      <wps:cNvCnPr/>
                      <wps:spPr>
                        <a:xfrm flipV="1">
                          <a:off x="1003935" y="9309735"/>
                          <a:ext cx="5781675" cy="635"/>
                        </a:xfrm>
                        <a:prstGeom prst="line">
                          <a:avLst/>
                        </a:prstGeom>
                        <a:noFill/>
                        <a:ln w="12700">
                          <a:solidFill>
                            <a:srgbClr val="000000">
                              <a:shade val="95000"/>
                              <a:satMod val="105000"/>
                            </a:srgbClr>
                          </a:solidFill>
                          <a:prstDash val="solid"/>
                        </a:ln>
                        <a:effectLst/>
                      </wps:spPr>
                      <wps:bodyPr/>
                    </wps:wsp>
                  </a:graphicData>
                </a:graphic>
              </wp:anchor>
            </w:drawing>
          </mc:Choice>
          <mc:Fallback>
            <w:pict>
              <v:line id="_x0000_s1026" o:spid="_x0000_s1025" style="flip:y;mso-height-relative:page;mso-width-relative:page;position:absolute;z-index:251659264" from="-1.6pt,1.45pt" to="453.65pt,1.5pt" coordsize="21600,21600" stroked="t" strokecolor="black">
                <v:stroke joinstyle="round"/>
                <o:lock v:ext="edit" aspectratio="f"/>
              </v:line>
            </w:pict>
          </mc:Fallback>
        </mc:AlternateContent>
      </w:r>
      <w:r>
        <w:rPr>
          <w:rFonts w:ascii="仿宋_GB2312" w:eastAsia="仿宋_GB2312" w:hAnsi="仿宋_GB2312" w:cs="仿宋_GB2312" w:hint="eastAsia"/>
          <w:sz w:val="28"/>
          <w:szCs w:val="28"/>
          <w:lang w:val="en-US" w:eastAsia="zh-CN"/>
        </w:rPr>
        <w:t>抄送：</w:t>
      </w:r>
      <w:r>
        <w:rPr>
          <w:rFonts w:ascii="仿宋_GB2312" w:hAnsi="仿宋_GB2312" w:cs="仿宋_GB2312" w:hint="eastAsia"/>
          <w:sz w:val="28"/>
          <w:szCs w:val="28"/>
          <w:lang w:val="en-US" w:eastAsia="zh-CN"/>
        </w:rPr>
        <w:t>乌苏市自然资源局</w:t>
      </w:r>
    </w:p>
    <w:p>
      <w:pPr>
        <w:pStyle w:val="Heading3"/>
      </w:pPr>
      <w:r>
        <w:rPr>
          <w:rFonts w:ascii="仿宋_GB2312" w:eastAsia="仿宋_GB2312" w:hAnsi="仿宋_GB2312" w:cs="仿宋_GB2312" w:hint="eastAsia"/>
          <w:b w:val="0"/>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91440</wp:posOffset>
                </wp:positionV>
                <wp:extent cx="5781675" cy="635"/>
                <wp:effectExtent l="0" t="0" r="0" b="0"/>
                <wp:wrapNone/>
                <wp:docPr id="5" name="直接连接符 5"/>
                <wp:cNvGraphicFramePr/>
                <a:graphic xmlns:a="http://schemas.openxmlformats.org/drawingml/2006/main">
                  <a:graphicData uri="http://schemas.microsoft.com/office/word/2010/wordprocessingShape">
                    <wps:wsp xmlns:wps="http://schemas.microsoft.com/office/word/2010/wordprocessingShape">
                      <wps:cNvCnPr/>
                      <wps:spPr>
                        <a:xfrm>
                          <a:off x="0" y="0"/>
                          <a:ext cx="5781675" cy="635"/>
                        </a:xfrm>
                        <a:prstGeom prst="line">
                          <a:avLst/>
                        </a:prstGeom>
                        <a:noFill/>
                        <a:ln w="9525">
                          <a:solidFill>
                            <a:srgbClr val="000000">
                              <a:shade val="95000"/>
                              <a:satMod val="105000"/>
                            </a:srgbClr>
                          </a:solidFill>
                          <a:prstDash val="solid"/>
                        </a:ln>
                        <a:effectLst/>
                      </wps:spPr>
                      <wps:bodyPr/>
                    </wps:wsp>
                  </a:graphicData>
                </a:graphic>
              </wp:anchor>
            </w:drawing>
          </mc:Choice>
          <mc:Fallback>
            <w:pict>
              <v:line id="_x0000_s1026" o:spid="_x0000_s1026" style="mso-height-relative:page;mso-width-relative:page;position:absolute;z-index:251661312" from="-1.6pt,7.2pt" to="453.65pt,7.25pt" coordsize="21600,21600" stroked="t" strokecolor="black">
                <v:stroke joinstyle="round"/>
                <o:lock v:ext="edit" aspectratio="f"/>
              </v:line>
            </w:pict>
          </mc:Fallback>
        </mc:AlternateContent>
      </w:r>
      <w:r>
        <w:rPr>
          <w:rFonts w:ascii="仿宋_GB2312" w:eastAsia="仿宋_GB2312" w:hAnsi="仿宋_GB2312" w:cs="仿宋_GB2312" w:hint="eastAsia"/>
          <w:b w:val="0"/>
          <w:kern w:val="2"/>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450215</wp:posOffset>
                </wp:positionV>
                <wp:extent cx="5781675" cy="635"/>
                <wp:effectExtent l="0" t="0" r="0" b="0"/>
                <wp:wrapNone/>
                <wp:docPr id="6" name="直接连接符 6"/>
                <wp:cNvGraphicFramePr/>
                <a:graphic xmlns:a="http://schemas.openxmlformats.org/drawingml/2006/main">
                  <a:graphicData uri="http://schemas.microsoft.com/office/word/2010/wordprocessingShape">
                    <wps:wsp xmlns:wps="http://schemas.microsoft.com/office/word/2010/wordprocessingShape">
                      <wps:cNvCnPr/>
                      <wps:spPr>
                        <a:xfrm flipV="1">
                          <a:off x="0" y="0"/>
                          <a:ext cx="5781675" cy="635"/>
                        </a:xfrm>
                        <a:prstGeom prst="line">
                          <a:avLst/>
                        </a:prstGeom>
                        <a:noFill/>
                        <a:ln w="12700">
                          <a:solidFill>
                            <a:srgbClr val="000000">
                              <a:shade val="95000"/>
                              <a:satMod val="105000"/>
                            </a:srgbClr>
                          </a:solidFill>
                          <a:prstDash val="solid"/>
                        </a:ln>
                        <a:effectLst/>
                      </wps:spPr>
                      <wps:bodyPr/>
                    </wps:wsp>
                  </a:graphicData>
                </a:graphic>
              </wp:anchor>
            </w:drawing>
          </mc:Choice>
          <mc:Fallback>
            <w:pict>
              <v:line id="_x0000_s1026" o:spid="_x0000_s1027" style="flip:y;mso-height-relative:page;mso-width-relative:page;position:absolute;z-index:251663360" from="-3.85pt,35.45pt" to="451.4pt,35.5pt" coordsize="21600,21600" stroked="t" strokecolor="black">
                <v:stroke joinstyle="round"/>
                <o:lock v:ext="edit" aspectratio="f"/>
              </v:line>
            </w:pict>
          </mc:Fallback>
        </mc:AlternateContent>
      </w:r>
      <w:r>
        <w:rPr>
          <w:rFonts w:ascii="仿宋_GB2312" w:eastAsia="仿宋_GB2312" w:hAnsi="仿宋_GB2312" w:cs="仿宋_GB2312" w:hint="eastAsia"/>
          <w:b w:val="0"/>
          <w:kern w:val="2"/>
          <w:sz w:val="28"/>
          <w:szCs w:val="28"/>
          <w:lang w:val="en-US" w:eastAsia="zh-CN" w:bidi="ar-SA"/>
        </w:rPr>
        <w:t xml:space="preserve">乌苏市审计局    </w:t>
      </w:r>
      <w:r>
        <w:rPr>
          <w:rFonts w:ascii="仿宋_GB2312" w:eastAsia="仿宋_GB2312" w:hAnsi="仿宋_GB2312" w:cs="仿宋_GB2312" w:hint="eastAsia"/>
          <w:sz w:val="28"/>
          <w:szCs w:val="28"/>
          <w:lang w:val="en-US" w:eastAsia="zh-CN"/>
        </w:rPr>
        <w:t xml:space="preserve">                           </w:t>
      </w:r>
      <w:r>
        <w:rPr>
          <w:rFonts w:ascii="仿宋_GB2312" w:eastAsia="仿宋_GB2312" w:hAnsi="仿宋_GB2312" w:cs="仿宋_GB2312" w:hint="eastAsia"/>
          <w:b w:val="0"/>
          <w:kern w:val="2"/>
          <w:sz w:val="28"/>
          <w:szCs w:val="28"/>
          <w:lang w:val="en-US" w:eastAsia="zh-CN" w:bidi="ar-SA"/>
        </w:rPr>
        <w:t>2023年6月21日印发</w:t>
      </w:r>
    </w:p>
    <w:sectPr>
      <w:footerReference w:type="default" r:id="rId6"/>
      <w:pgSz w:w="11906" w:h="16838"/>
      <w:pgMar w:top="2098" w:right="1531" w:bottom="1984" w:left="1531" w:header="851" w:footer="992" w:gutter="0"/>
      <w:pgNumType w:start="1"/>
      <w:cols w:num="1" w:space="0"/>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仿宋_GB2312"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rPr>
                        <w:rFonts w:eastAsia="仿宋_GB2312"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576C271"/>
    <w:multiLevelType w:val="singleLevel"/>
    <w:tmpl w:val="4576C271"/>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253C02"/>
    <w:rsid w:val="01432116"/>
    <w:rsid w:val="01C52C27"/>
    <w:rsid w:val="020E79D6"/>
    <w:rsid w:val="02387DAA"/>
    <w:rsid w:val="034B57D0"/>
    <w:rsid w:val="038271EE"/>
    <w:rsid w:val="04423376"/>
    <w:rsid w:val="044A16A0"/>
    <w:rsid w:val="04BE0F30"/>
    <w:rsid w:val="05982415"/>
    <w:rsid w:val="05D21FF0"/>
    <w:rsid w:val="060B1524"/>
    <w:rsid w:val="06237DA8"/>
    <w:rsid w:val="06380076"/>
    <w:rsid w:val="064726C7"/>
    <w:rsid w:val="066B4889"/>
    <w:rsid w:val="07646343"/>
    <w:rsid w:val="07BB7428"/>
    <w:rsid w:val="07CC2D76"/>
    <w:rsid w:val="08163A61"/>
    <w:rsid w:val="081C6B12"/>
    <w:rsid w:val="084612D8"/>
    <w:rsid w:val="08D06E12"/>
    <w:rsid w:val="091E42B6"/>
    <w:rsid w:val="092D56B5"/>
    <w:rsid w:val="09382332"/>
    <w:rsid w:val="097A19F5"/>
    <w:rsid w:val="09FD4147"/>
    <w:rsid w:val="0A987522"/>
    <w:rsid w:val="0AEA624D"/>
    <w:rsid w:val="0AF47207"/>
    <w:rsid w:val="0B0110E1"/>
    <w:rsid w:val="0B1777C8"/>
    <w:rsid w:val="0BD324FC"/>
    <w:rsid w:val="0BFC0A31"/>
    <w:rsid w:val="0C9E2689"/>
    <w:rsid w:val="0D6F198F"/>
    <w:rsid w:val="0E174456"/>
    <w:rsid w:val="0E1D2430"/>
    <w:rsid w:val="0E472BD1"/>
    <w:rsid w:val="0E611767"/>
    <w:rsid w:val="0EAB5ECE"/>
    <w:rsid w:val="0EB2476E"/>
    <w:rsid w:val="0F1249D3"/>
    <w:rsid w:val="0F643BF6"/>
    <w:rsid w:val="0F783B75"/>
    <w:rsid w:val="0F87426A"/>
    <w:rsid w:val="0FEB5395"/>
    <w:rsid w:val="109728A4"/>
    <w:rsid w:val="112D4AFB"/>
    <w:rsid w:val="115237A1"/>
    <w:rsid w:val="117B4F9D"/>
    <w:rsid w:val="11DA65CE"/>
    <w:rsid w:val="11F56023"/>
    <w:rsid w:val="120715AF"/>
    <w:rsid w:val="12982800"/>
    <w:rsid w:val="12DA2890"/>
    <w:rsid w:val="13667494"/>
    <w:rsid w:val="138D506B"/>
    <w:rsid w:val="13BA33C6"/>
    <w:rsid w:val="14253C83"/>
    <w:rsid w:val="14411ECC"/>
    <w:rsid w:val="149B0FB8"/>
    <w:rsid w:val="14E61ECE"/>
    <w:rsid w:val="14E76134"/>
    <w:rsid w:val="14FF12FD"/>
    <w:rsid w:val="150458EA"/>
    <w:rsid w:val="15423111"/>
    <w:rsid w:val="156B1152"/>
    <w:rsid w:val="157A4DA4"/>
    <w:rsid w:val="159C32E0"/>
    <w:rsid w:val="159E6863"/>
    <w:rsid w:val="16133544"/>
    <w:rsid w:val="165B4D01"/>
    <w:rsid w:val="16CA2443"/>
    <w:rsid w:val="172D6F86"/>
    <w:rsid w:val="175B3970"/>
    <w:rsid w:val="175E4788"/>
    <w:rsid w:val="178342B6"/>
    <w:rsid w:val="17CB7A83"/>
    <w:rsid w:val="17DA3561"/>
    <w:rsid w:val="18191E75"/>
    <w:rsid w:val="181C448A"/>
    <w:rsid w:val="18C11C6D"/>
    <w:rsid w:val="18C72340"/>
    <w:rsid w:val="18FA1236"/>
    <w:rsid w:val="194A7F25"/>
    <w:rsid w:val="1A7F6633"/>
    <w:rsid w:val="1AA008E9"/>
    <w:rsid w:val="1AE34DA5"/>
    <w:rsid w:val="1B153986"/>
    <w:rsid w:val="1B8D72B7"/>
    <w:rsid w:val="1BEF41C7"/>
    <w:rsid w:val="1BFD74D8"/>
    <w:rsid w:val="1C921469"/>
    <w:rsid w:val="1CD7461E"/>
    <w:rsid w:val="1D195190"/>
    <w:rsid w:val="1E9120B6"/>
    <w:rsid w:val="1EB32518"/>
    <w:rsid w:val="1F5807A7"/>
    <w:rsid w:val="1F632EA0"/>
    <w:rsid w:val="1F824C15"/>
    <w:rsid w:val="2013697A"/>
    <w:rsid w:val="20452C50"/>
    <w:rsid w:val="206937B0"/>
    <w:rsid w:val="2118128C"/>
    <w:rsid w:val="21527CF3"/>
    <w:rsid w:val="22282F07"/>
    <w:rsid w:val="22305EE5"/>
    <w:rsid w:val="22807432"/>
    <w:rsid w:val="233D5F42"/>
    <w:rsid w:val="245A1977"/>
    <w:rsid w:val="2470452A"/>
    <w:rsid w:val="247D34C8"/>
    <w:rsid w:val="249D1783"/>
    <w:rsid w:val="24A8579F"/>
    <w:rsid w:val="258E46D1"/>
    <w:rsid w:val="25E2599E"/>
    <w:rsid w:val="26036E90"/>
    <w:rsid w:val="26136273"/>
    <w:rsid w:val="263569CB"/>
    <w:rsid w:val="264D5DAF"/>
    <w:rsid w:val="271E6A32"/>
    <w:rsid w:val="27336BFC"/>
    <w:rsid w:val="27AC5820"/>
    <w:rsid w:val="27C9590C"/>
    <w:rsid w:val="28104F15"/>
    <w:rsid w:val="28197AF9"/>
    <w:rsid w:val="286D55A8"/>
    <w:rsid w:val="29574DD3"/>
    <w:rsid w:val="298E770D"/>
    <w:rsid w:val="299535C1"/>
    <w:rsid w:val="29B467AF"/>
    <w:rsid w:val="29BE0FAA"/>
    <w:rsid w:val="29CF13C8"/>
    <w:rsid w:val="2A275BC0"/>
    <w:rsid w:val="2AA7234A"/>
    <w:rsid w:val="2AA9599B"/>
    <w:rsid w:val="2AC24B2D"/>
    <w:rsid w:val="2B3F0348"/>
    <w:rsid w:val="2BCD0740"/>
    <w:rsid w:val="2BD80414"/>
    <w:rsid w:val="2C0C25CB"/>
    <w:rsid w:val="2C381AF2"/>
    <w:rsid w:val="2C6B15DC"/>
    <w:rsid w:val="2C9052E1"/>
    <w:rsid w:val="2CAC1D94"/>
    <w:rsid w:val="2CCF0E2E"/>
    <w:rsid w:val="2D0961F3"/>
    <w:rsid w:val="2D3A09D8"/>
    <w:rsid w:val="2D7E6B86"/>
    <w:rsid w:val="2D8C5EA5"/>
    <w:rsid w:val="2E5A6E47"/>
    <w:rsid w:val="2E6D17E3"/>
    <w:rsid w:val="2EAB5728"/>
    <w:rsid w:val="2EC621A9"/>
    <w:rsid w:val="2ED821E2"/>
    <w:rsid w:val="2EE92B72"/>
    <w:rsid w:val="2F7A3CAC"/>
    <w:rsid w:val="2FA044EB"/>
    <w:rsid w:val="302878A5"/>
    <w:rsid w:val="303D433F"/>
    <w:rsid w:val="3099785F"/>
    <w:rsid w:val="30FC541F"/>
    <w:rsid w:val="31372786"/>
    <w:rsid w:val="31495ACE"/>
    <w:rsid w:val="3174249C"/>
    <w:rsid w:val="326653A6"/>
    <w:rsid w:val="327B44D3"/>
    <w:rsid w:val="32C03C8D"/>
    <w:rsid w:val="32C9088B"/>
    <w:rsid w:val="33527436"/>
    <w:rsid w:val="33AF38E2"/>
    <w:rsid w:val="345A4C5B"/>
    <w:rsid w:val="356A1F5F"/>
    <w:rsid w:val="35B7574C"/>
    <w:rsid w:val="35CE504E"/>
    <w:rsid w:val="35D07C30"/>
    <w:rsid w:val="365C7A96"/>
    <w:rsid w:val="36C55E37"/>
    <w:rsid w:val="36F722C1"/>
    <w:rsid w:val="36FA6DF9"/>
    <w:rsid w:val="372D5C98"/>
    <w:rsid w:val="374307D6"/>
    <w:rsid w:val="37783AC6"/>
    <w:rsid w:val="383265D0"/>
    <w:rsid w:val="38634D82"/>
    <w:rsid w:val="38DD7ACA"/>
    <w:rsid w:val="3960436C"/>
    <w:rsid w:val="39E31270"/>
    <w:rsid w:val="3A574E89"/>
    <w:rsid w:val="3A730E8F"/>
    <w:rsid w:val="3B57370A"/>
    <w:rsid w:val="3BFD4882"/>
    <w:rsid w:val="3C2C626F"/>
    <w:rsid w:val="3CD630B2"/>
    <w:rsid w:val="3CDA541C"/>
    <w:rsid w:val="3D504D7E"/>
    <w:rsid w:val="3D651BC7"/>
    <w:rsid w:val="3D8A2FF5"/>
    <w:rsid w:val="3D9D198D"/>
    <w:rsid w:val="3DCA0F53"/>
    <w:rsid w:val="3ED90594"/>
    <w:rsid w:val="3F6E169F"/>
    <w:rsid w:val="3F6F162F"/>
    <w:rsid w:val="3F9F4A88"/>
    <w:rsid w:val="3FA75D87"/>
    <w:rsid w:val="40572BDF"/>
    <w:rsid w:val="40791C7D"/>
    <w:rsid w:val="40AB7366"/>
    <w:rsid w:val="40C11F18"/>
    <w:rsid w:val="412F3A5C"/>
    <w:rsid w:val="422B524B"/>
    <w:rsid w:val="424B2E37"/>
    <w:rsid w:val="438F2BED"/>
    <w:rsid w:val="446723EB"/>
    <w:rsid w:val="446C2600"/>
    <w:rsid w:val="44E14A9B"/>
    <w:rsid w:val="44E55A3C"/>
    <w:rsid w:val="44EA1874"/>
    <w:rsid w:val="450379C0"/>
    <w:rsid w:val="45955C19"/>
    <w:rsid w:val="46522336"/>
    <w:rsid w:val="46AA68DB"/>
    <w:rsid w:val="46BC1B52"/>
    <w:rsid w:val="46F800A1"/>
    <w:rsid w:val="46FD45FC"/>
    <w:rsid w:val="471320CC"/>
    <w:rsid w:val="475D36CF"/>
    <w:rsid w:val="47C8207D"/>
    <w:rsid w:val="47FD71B8"/>
    <w:rsid w:val="48060E33"/>
    <w:rsid w:val="48D30CD1"/>
    <w:rsid w:val="491623B4"/>
    <w:rsid w:val="49421035"/>
    <w:rsid w:val="496C11BF"/>
    <w:rsid w:val="49C347A7"/>
    <w:rsid w:val="4A7E0893"/>
    <w:rsid w:val="4B837592"/>
    <w:rsid w:val="4CA603B7"/>
    <w:rsid w:val="4CBC00A6"/>
    <w:rsid w:val="4D0A12EA"/>
    <w:rsid w:val="4D195ABD"/>
    <w:rsid w:val="4D31302A"/>
    <w:rsid w:val="4D541486"/>
    <w:rsid w:val="4D6176D0"/>
    <w:rsid w:val="4D7F34E5"/>
    <w:rsid w:val="4DB74BC3"/>
    <w:rsid w:val="4DBB601F"/>
    <w:rsid w:val="4E754FDD"/>
    <w:rsid w:val="4F1E4D0C"/>
    <w:rsid w:val="4F390054"/>
    <w:rsid w:val="4F8921D0"/>
    <w:rsid w:val="4F922BBC"/>
    <w:rsid w:val="4FA94D7C"/>
    <w:rsid w:val="4FAE05AE"/>
    <w:rsid w:val="4FF30B30"/>
    <w:rsid w:val="500051E5"/>
    <w:rsid w:val="505D0D2A"/>
    <w:rsid w:val="505F30E3"/>
    <w:rsid w:val="50B602A0"/>
    <w:rsid w:val="50CF4B3D"/>
    <w:rsid w:val="50DC6360"/>
    <w:rsid w:val="51336EA0"/>
    <w:rsid w:val="51411E42"/>
    <w:rsid w:val="51A35245"/>
    <w:rsid w:val="51D672BB"/>
    <w:rsid w:val="51F34C8B"/>
    <w:rsid w:val="525C3F10"/>
    <w:rsid w:val="52F843F9"/>
    <w:rsid w:val="544816DF"/>
    <w:rsid w:val="549803D7"/>
    <w:rsid w:val="54C77962"/>
    <w:rsid w:val="54FF232D"/>
    <w:rsid w:val="55217BA3"/>
    <w:rsid w:val="55902B13"/>
    <w:rsid w:val="566C301B"/>
    <w:rsid w:val="56786AA4"/>
    <w:rsid w:val="56A35C92"/>
    <w:rsid w:val="571544A4"/>
    <w:rsid w:val="571C3936"/>
    <w:rsid w:val="575C7428"/>
    <w:rsid w:val="579548D4"/>
    <w:rsid w:val="57A954AD"/>
    <w:rsid w:val="57D84583"/>
    <w:rsid w:val="57E026AC"/>
    <w:rsid w:val="57E55AD8"/>
    <w:rsid w:val="58EB21A0"/>
    <w:rsid w:val="591A12D6"/>
    <w:rsid w:val="59584D5A"/>
    <w:rsid w:val="599002DF"/>
    <w:rsid w:val="5ACC65B0"/>
    <w:rsid w:val="5B757DA3"/>
    <w:rsid w:val="5BED599C"/>
    <w:rsid w:val="5C9B582D"/>
    <w:rsid w:val="5D222FAA"/>
    <w:rsid w:val="5D337E4D"/>
    <w:rsid w:val="5D481FB7"/>
    <w:rsid w:val="5D6F6A36"/>
    <w:rsid w:val="5DAD6726"/>
    <w:rsid w:val="5DD76ACB"/>
    <w:rsid w:val="5EEF0A79"/>
    <w:rsid w:val="5F3D197D"/>
    <w:rsid w:val="5F596BEF"/>
    <w:rsid w:val="5F9C56EE"/>
    <w:rsid w:val="60046645"/>
    <w:rsid w:val="60663482"/>
    <w:rsid w:val="61595B70"/>
    <w:rsid w:val="616C74D5"/>
    <w:rsid w:val="61951EC2"/>
    <w:rsid w:val="61D57550"/>
    <w:rsid w:val="620034A2"/>
    <w:rsid w:val="62DD5037"/>
    <w:rsid w:val="62E454AB"/>
    <w:rsid w:val="62E71735"/>
    <w:rsid w:val="62FC0672"/>
    <w:rsid w:val="631C77D3"/>
    <w:rsid w:val="637558EF"/>
    <w:rsid w:val="63B83B8D"/>
    <w:rsid w:val="63C505F3"/>
    <w:rsid w:val="63E22B2D"/>
    <w:rsid w:val="64716B5A"/>
    <w:rsid w:val="64D463C2"/>
    <w:rsid w:val="64DF6637"/>
    <w:rsid w:val="664D56A9"/>
    <w:rsid w:val="669355F8"/>
    <w:rsid w:val="66A9424F"/>
    <w:rsid w:val="66DF7E8B"/>
    <w:rsid w:val="67DF58AB"/>
    <w:rsid w:val="688945D5"/>
    <w:rsid w:val="68A41836"/>
    <w:rsid w:val="68C71741"/>
    <w:rsid w:val="69A63B80"/>
    <w:rsid w:val="69FF5C8B"/>
    <w:rsid w:val="6A765E44"/>
    <w:rsid w:val="6A8511C5"/>
    <w:rsid w:val="6ADB29E2"/>
    <w:rsid w:val="6AF432CD"/>
    <w:rsid w:val="6B5C52B0"/>
    <w:rsid w:val="6B706CCD"/>
    <w:rsid w:val="6B731D04"/>
    <w:rsid w:val="6BD54072"/>
    <w:rsid w:val="6C410EF8"/>
    <w:rsid w:val="6C656AF2"/>
    <w:rsid w:val="6CDA69CC"/>
    <w:rsid w:val="6CED1D05"/>
    <w:rsid w:val="6D27359C"/>
    <w:rsid w:val="6D583825"/>
    <w:rsid w:val="6D5F720A"/>
    <w:rsid w:val="6D943CE9"/>
    <w:rsid w:val="6DA75676"/>
    <w:rsid w:val="6DAA22A5"/>
    <w:rsid w:val="6E1822F8"/>
    <w:rsid w:val="6E484C4F"/>
    <w:rsid w:val="6E7A1255"/>
    <w:rsid w:val="6E8D6E95"/>
    <w:rsid w:val="6FF6387A"/>
    <w:rsid w:val="70034386"/>
    <w:rsid w:val="703966E4"/>
    <w:rsid w:val="70C9464F"/>
    <w:rsid w:val="711C7748"/>
    <w:rsid w:val="71874AD0"/>
    <w:rsid w:val="71AD7E07"/>
    <w:rsid w:val="71F875B0"/>
    <w:rsid w:val="72AE2871"/>
    <w:rsid w:val="73013540"/>
    <w:rsid w:val="7324612E"/>
    <w:rsid w:val="734349EE"/>
    <w:rsid w:val="73460E51"/>
    <w:rsid w:val="734C37E3"/>
    <w:rsid w:val="73B93429"/>
    <w:rsid w:val="74232CB9"/>
    <w:rsid w:val="745D500F"/>
    <w:rsid w:val="75701B33"/>
    <w:rsid w:val="75BF148E"/>
    <w:rsid w:val="7633511C"/>
    <w:rsid w:val="76793A4F"/>
    <w:rsid w:val="76940E42"/>
    <w:rsid w:val="76D171EB"/>
    <w:rsid w:val="76F5319C"/>
    <w:rsid w:val="781D4F04"/>
    <w:rsid w:val="787143FD"/>
    <w:rsid w:val="788A605B"/>
    <w:rsid w:val="78937A4E"/>
    <w:rsid w:val="794A09BD"/>
    <w:rsid w:val="797604E9"/>
    <w:rsid w:val="79CB4F55"/>
    <w:rsid w:val="7A90785A"/>
    <w:rsid w:val="7AAD244E"/>
    <w:rsid w:val="7AB80A69"/>
    <w:rsid w:val="7AEE661C"/>
    <w:rsid w:val="7AF06D1B"/>
    <w:rsid w:val="7AF243C8"/>
    <w:rsid w:val="7B076945"/>
    <w:rsid w:val="7B783CF3"/>
    <w:rsid w:val="7B9E1714"/>
    <w:rsid w:val="7C271AB1"/>
    <w:rsid w:val="7C672BBB"/>
    <w:rsid w:val="7C887835"/>
    <w:rsid w:val="7D1212AC"/>
    <w:rsid w:val="7D804F6D"/>
    <w:rsid w:val="7E0C07CE"/>
    <w:rsid w:val="7E0F7BB5"/>
    <w:rsid w:val="7E430759"/>
    <w:rsid w:val="7E4646D9"/>
    <w:rsid w:val="7E504534"/>
    <w:rsid w:val="7E58150E"/>
    <w:rsid w:val="7E611D38"/>
    <w:rsid w:val="7F3772FB"/>
    <w:rsid w:val="7F7C766D"/>
  </w:rsids>
  <w:docVars>
    <w:docVar w:name="commondata" w:val="eyJoZGlkIjoiYzQ4ZDdjNjUwZjJkN2FlZGE3MmVhN2E4MTdkM2JlNWE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qFormat="1"/>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qFormat="1"/>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3"/>
    <w:qFormat/>
    <w:pPr>
      <w:widowControl w:val="0"/>
      <w:adjustRightInd w:val="0"/>
      <w:spacing w:line="312" w:lineRule="atLeast"/>
      <w:jc w:val="both"/>
      <w:textAlignment w:val="baseline"/>
    </w:pPr>
    <w:rPr>
      <w:rFonts w:ascii="Times New Roman" w:eastAsia="仿宋_GB2312" w:hAnsi="Times New Roman" w:cs="Times New Roman"/>
      <w:sz w:val="32"/>
      <w:lang w:val="en-US" w:eastAsia="zh-CN" w:bidi="ar-SA"/>
    </w:rPr>
  </w:style>
  <w:style w:type="paragraph" w:styleId="Heading1">
    <w:name w:val="heading 1"/>
    <w:basedOn w:val="Normal"/>
    <w:next w:val="Normal"/>
    <w:qFormat/>
    <w:pPr>
      <w:spacing w:before="100" w:beforeAutospacing="1" w:after="100" w:afterAutospacing="1"/>
      <w:jc w:val="left"/>
      <w:outlineLvl w:val="0"/>
    </w:pPr>
    <w:rPr>
      <w:rFonts w:ascii="宋体" w:eastAsia="宋体" w:hAnsi="宋体" w:cs="宋体" w:hint="eastAsia"/>
      <w:b/>
      <w:kern w:val="44"/>
      <w:sz w:val="48"/>
      <w:szCs w:val="48"/>
      <w:lang w:val="en-US" w:eastAsia="zh-CN" w:bidi="ar"/>
    </w:rPr>
  </w:style>
  <w:style w:type="paragraph" w:styleId="Heading3">
    <w:name w:val="heading 3"/>
    <w:basedOn w:val="Normal"/>
    <w:next w:val="Normal"/>
    <w:qFormat/>
    <w:pPr>
      <w:spacing w:before="100" w:beforeAutospacing="1" w:after="100" w:afterAutospacing="1"/>
      <w:jc w:val="left"/>
      <w:outlineLvl w:val="2"/>
    </w:pPr>
    <w:rPr>
      <w:rFonts w:ascii="宋体" w:eastAsia="宋体" w:hAnsi="宋体" w:cs="宋体" w:hint="eastAsia"/>
      <w:b/>
      <w:kern w:val="0"/>
      <w:sz w:val="27"/>
      <w:szCs w:val="27"/>
      <w:lang w:val="en-US" w:eastAsia="zh-CN" w:bidi="ar"/>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Indent">
    <w:name w:val="Body Text Indent"/>
    <w:basedOn w:val="Normal"/>
    <w:next w:val="BodyTextFirstIndent2"/>
    <w:qFormat/>
    <w:pPr>
      <w:ind w:firstLine="540"/>
    </w:pPr>
    <w:rPr>
      <w:sz w:val="30"/>
    </w:rPr>
  </w:style>
  <w:style w:type="paragraph" w:styleId="BodyTextFirstIndent2">
    <w:name w:val="Body Text First Indent 2"/>
    <w:basedOn w:val="BodyTextIndent"/>
    <w:next w:val="Normal"/>
    <w:qFormat/>
    <w:pPr>
      <w:ind w:firstLine="420" w:firstLineChars="200"/>
    </w:pPr>
  </w:style>
  <w:style w:type="paragraph" w:styleId="Footer">
    <w:name w:val="footer"/>
    <w:basedOn w:val="Normal"/>
    <w:qFormat/>
    <w:pPr>
      <w:tabs>
        <w:tab w:val="center" w:pos="4153"/>
        <w:tab w:val="right" w:pos="8306"/>
      </w:tabs>
      <w:snapToGrid w:val="0"/>
      <w:spacing w:line="240" w:lineRule="atLeast"/>
      <w:jc w:val="left"/>
    </w:pPr>
    <w:rPr>
      <w:sz w:val="18"/>
      <w:szCs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FootnoteText">
    <w:name w:val="footnote text"/>
    <w:basedOn w:val="Normal"/>
    <w:next w:val="BodyTextFirstIndent2"/>
    <w:qFormat/>
    <w:pPr>
      <w:snapToGrid w:val="0"/>
      <w:jc w:val="left"/>
    </w:pPr>
    <w:rPr>
      <w:sz w:val="18"/>
      <w:szCs w:val="18"/>
    </w:rPr>
  </w:style>
  <w:style w:type="paragraph" w:styleId="BodyTextIndent3">
    <w:name w:val="Body Text Indent 3"/>
    <w:basedOn w:val="Normal"/>
    <w:qFormat/>
    <w:pPr>
      <w:adjustRightInd/>
      <w:spacing w:after="120" w:line="240" w:lineRule="auto"/>
      <w:ind w:left="420" w:leftChars="200"/>
      <w:textAlignment w:val="auto"/>
    </w:pPr>
    <w:rPr>
      <w:kern w:val="2"/>
      <w:sz w:val="16"/>
      <w:szCs w:val="16"/>
    </w:r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1098</Words>
  <Characters>1256</Characters>
  <Application>Microsoft Office Word</Application>
  <DocSecurity>0</DocSecurity>
  <Lines>0</Lines>
  <Paragraphs>0</Paragraphs>
  <ScaleCrop>false</ScaleCrop>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cp:lastPrinted>2023-08-03T10:07:15Z</cp:lastPrinted>
  <dcterms:created xsi:type="dcterms:W3CDTF">2023-04-10T08:40:00Z</dcterms:created>
  <dcterms:modified xsi:type="dcterms:W3CDTF">2023-08-03T10:07:22Z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E97DF449E4FC4D1C8491ABD77F0EB0B3_12</vt:lpwstr>
  </property>
  <property fmtid="{D5CDD505-2E9C-101B-9397-08002B2CF9AE}" pid="3" name="KSOProductBuildVer">
    <vt:lpwstr>2052-11.8.2.8555</vt:lpwstr>
  </property>
</Properties>
</file>