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乌苏市城市综合执法领域基层政务公开标准目录</w:t>
      </w:r>
    </w:p>
    <w:p>
      <w:pPr>
        <w:rPr>
          <w:rFonts w:hint="eastAsia"/>
        </w:rPr>
      </w:pPr>
    </w:p>
    <w:tbl>
      <w:tblPr>
        <w:tblStyle w:val="TableNormal"/>
        <w:tblW w:w="14433"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108" w:type="dxa"/>
          <w:bottom w:w="0" w:type="dxa"/>
          <w:right w:w="108" w:type="dxa"/>
        </w:tblCellMar>
      </w:tblPr>
      <w:tblGrid>
        <w:gridCol w:w="567"/>
        <w:gridCol w:w="698"/>
        <w:gridCol w:w="1750"/>
        <w:gridCol w:w="2046"/>
        <w:gridCol w:w="1306"/>
        <w:gridCol w:w="2239"/>
        <w:gridCol w:w="1486"/>
        <w:gridCol w:w="1541"/>
        <w:gridCol w:w="750"/>
        <w:gridCol w:w="700"/>
        <w:gridCol w:w="650"/>
        <w:gridCol w:w="700"/>
      </w:tblGrid>
      <w:tr>
        <w:tblPrEx>
          <w:tblW w:w="14433"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108" w:type="dxa"/>
            <w:bottom w:w="0" w:type="dxa"/>
            <w:right w:w="108" w:type="dxa"/>
          </w:tblCellMar>
        </w:tblPrEx>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i w:val="0"/>
                <w:caps w:val="0"/>
                <w:color w:val="333333"/>
                <w:spacing w:val="0"/>
                <w:sz w:val="18"/>
                <w:szCs w:val="18"/>
              </w:rPr>
              <w:t>序号</w:t>
            </w:r>
          </w:p>
        </w:tc>
        <w:tc>
          <w:tcPr>
            <w:tcW w:w="2448" w:type="dxa"/>
            <w:gridSpan w:val="2"/>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公开事项</w:t>
            </w:r>
          </w:p>
        </w:tc>
        <w:tc>
          <w:tcPr>
            <w:tcW w:w="2046"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公开内容（要素）</w:t>
            </w:r>
          </w:p>
        </w:tc>
        <w:tc>
          <w:tcPr>
            <w:tcW w:w="1306"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公开依据</w:t>
            </w:r>
          </w:p>
        </w:tc>
        <w:tc>
          <w:tcPr>
            <w:tcW w:w="2239"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公开时限</w:t>
            </w:r>
          </w:p>
        </w:tc>
        <w:tc>
          <w:tcPr>
            <w:tcW w:w="1486"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公开主体</w:t>
            </w:r>
          </w:p>
        </w:tc>
        <w:tc>
          <w:tcPr>
            <w:tcW w:w="1541"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公开渠道和载体</w:t>
            </w:r>
          </w:p>
        </w:tc>
        <w:tc>
          <w:tcPr>
            <w:tcW w:w="1450" w:type="dxa"/>
            <w:gridSpan w:val="2"/>
            <w:tcBorders>
              <w:top w:val="single" w:sz="4" w:space="0" w:color="000000"/>
              <w:left w:val="nil"/>
              <w:bottom w:val="nil"/>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公开对象</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公开方式</w:t>
            </w:r>
          </w:p>
        </w:tc>
      </w:tr>
      <w:tr>
        <w:tblPrEx>
          <w:tblW w:w="14433" w:type="dxa"/>
          <w:tblInd w:w="135" w:type="dxa"/>
          <w:shd w:val="clear" w:color="auto" w:fill="FFFFFF"/>
          <w:tblLayout w:type="fixed"/>
          <w:tblCellMar>
            <w:top w:w="0" w:type="dxa"/>
            <w:left w:w="108" w:type="dxa"/>
            <w:bottom w:w="0" w:type="dxa"/>
            <w:right w:w="108" w:type="dxa"/>
          </w:tblCellMar>
        </w:tblPrEx>
        <w:trPr>
          <w:trHeight w:val="1123"/>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98"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一级事项</w:t>
            </w: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二级事项</w:t>
            </w:r>
          </w:p>
        </w:tc>
        <w:tc>
          <w:tcPr>
            <w:tcW w:w="2046"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2239"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486"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541"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全社会</w:t>
            </w:r>
          </w:p>
        </w:tc>
        <w:tc>
          <w:tcPr>
            <w:tcW w:w="70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特定群众</w:t>
            </w:r>
          </w:p>
        </w:tc>
        <w:tc>
          <w:tcPr>
            <w:tcW w:w="65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主动</w:t>
            </w:r>
          </w:p>
        </w:tc>
        <w:tc>
          <w:tcPr>
            <w:tcW w:w="70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依申请公开</w:t>
            </w:r>
          </w:p>
        </w:tc>
      </w:tr>
      <w:tr>
        <w:tblPrEx>
          <w:tblW w:w="14433" w:type="dxa"/>
          <w:tblInd w:w="135" w:type="dxa"/>
          <w:shd w:val="clear" w:color="auto" w:fill="FFFFFF"/>
          <w:tblLayout w:type="fixed"/>
          <w:tblCellMar>
            <w:top w:w="0" w:type="dxa"/>
            <w:left w:w="108" w:type="dxa"/>
            <w:bottom w:w="0" w:type="dxa"/>
            <w:right w:w="108" w:type="dxa"/>
          </w:tblCellMar>
        </w:tblPrEx>
        <w:trPr>
          <w:trHeight w:val="1531"/>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w:t>
            </w:r>
          </w:p>
        </w:tc>
        <w:tc>
          <w:tcPr>
            <w:tcW w:w="698"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房地产管理</w:t>
            </w: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不符合预售条件预售商品房</w:t>
            </w:r>
          </w:p>
        </w:tc>
        <w:tc>
          <w:tcPr>
            <w:tcW w:w="204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1.机构职能、权责清单、执法人员名单；</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2.执法程序或行政强制流程图；</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3.执法依据；</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4.行政处罚自由裁量基准；</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5.咨询、监督投诉方式；</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6.处罚决定；</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7.救济渠道。</w:t>
            </w: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《中华人民共和国城市房地产管理法》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707"/>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2</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未取得资质等级证书或者超越资质等级从事房地产开发经营</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《城市房地产开发经营管理条例》</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696"/>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3</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擅自预售商品房</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《城市房地产开发经营管理条例》、《商品房销售管理办法》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868"/>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4</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房产测绘单位在房产面积测算中不执行国家标准、规范和规定</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232"/>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5</w:t>
            </w:r>
          </w:p>
        </w:tc>
        <w:tc>
          <w:tcPr>
            <w:tcW w:w="698"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房地产管理</w:t>
            </w: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房产测绘单位在房产面积测算中弄虚作假、欺骗房屋权利人</w:t>
            </w:r>
          </w:p>
        </w:tc>
        <w:tc>
          <w:tcPr>
            <w:tcW w:w="204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1.机构职能、权责清单、执法人员名单；</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2.执法程序或行政强制流程图；</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3.执法依据；</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4.行政处罚自由裁量基准；</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5.咨询、监督投诉方式；</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6.处罚决定；</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7.救济渠道。</w:t>
            </w: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375"/>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6</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房产测绘单位房产面积测算失误，造成重大损失</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380"/>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7</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房地产经纪人员以个人名义承接房地产经纪业务和收取费用</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411"/>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7</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房地产经纪人员以个人名义承接房地产经纪业务和收取费用</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2634"/>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8</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房地产经纪机构提供代办贷款、代办房地产登记等其他服务，未向委托人说明服务内容、收费标准等情况，并未经委托人同意</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2166"/>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9</w:t>
            </w:r>
          </w:p>
        </w:tc>
        <w:tc>
          <w:tcPr>
            <w:tcW w:w="698"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房地产管理</w:t>
            </w: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房地产经纪服务合同未由从事该业务的一名房地产经纪人或者两名房地产经纪人协理签名</w:t>
            </w:r>
          </w:p>
        </w:tc>
        <w:tc>
          <w:tcPr>
            <w:tcW w:w="204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1.机构职能、权责清单、执法人员名单；</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2.执法程序或行政强制流程图；</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3.执法依据；</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4.行政处罚自由裁量基准；</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5.咨询、监督投诉方式；</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6.处罚决定；</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7.救济渠道。</w:t>
            </w: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2180"/>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10</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房地产经纪机构签订房地产经纪服务合同前，不向交易当事人说明和书面告知规定事项</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2011"/>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11</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房地产经纪机构未按照规定如实记录业务情况或者保存房地产经纪服务合同</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657"/>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12</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房地产经纪机构擅自对外发布房源信息</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231"/>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13</w:t>
            </w:r>
          </w:p>
        </w:tc>
        <w:tc>
          <w:tcPr>
            <w:tcW w:w="698"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房地产管理</w:t>
            </w: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房地产经纪机构擅自划转客户交易结算资金</w:t>
            </w:r>
          </w:p>
        </w:tc>
        <w:tc>
          <w:tcPr>
            <w:tcW w:w="204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1.机构职能、权责清单、执法人员名单；</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2.执法程序或行政强制流程图；</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3.执法依据；</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4.行政处罚自由裁量基准；</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5.咨询、监督投诉方式；</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6.处罚决定；</w:t>
            </w:r>
            <w:r>
              <w:rPr>
                <w:rFonts w:ascii="仿宋_GB2312" w:eastAsia="仿宋_GB2312" w:hAnsi="宋体" w:cs="仿宋_GB2312" w:hint="default"/>
                <w:i w:val="0"/>
                <w:caps w:val="0"/>
                <w:color w:val="333333"/>
                <w:spacing w:val="0"/>
                <w:sz w:val="18"/>
                <w:szCs w:val="18"/>
              </w:rPr>
              <w:br/>
            </w:r>
            <w:r>
              <w:rPr>
                <w:rFonts w:ascii="仿宋_GB2312" w:eastAsia="仿宋_GB2312" w:hAnsi="宋体" w:cs="仿宋_GB2312" w:hint="default"/>
                <w:i w:val="0"/>
                <w:caps w:val="0"/>
                <w:color w:val="333333"/>
                <w:spacing w:val="0"/>
                <w:sz w:val="18"/>
                <w:szCs w:val="18"/>
              </w:rPr>
              <w:t>7.救济渠道。</w:t>
            </w: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1657"/>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14</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房地产经纪机构和房地产经纪人员以隐瞒、欺诈、胁迫、贿赂等不正当手段招揽业务，诱骗消费者交易或者强制交易</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2126"/>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15</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房地产经纪机构和房地产经纪人员泄露或者不当使用委托人的个人信息或者商业秘密，谋取不正当利益</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4433" w:type="dxa"/>
          <w:tblInd w:w="135" w:type="dxa"/>
          <w:shd w:val="clear" w:color="auto" w:fill="FFFFFF"/>
          <w:tblLayout w:type="fixed"/>
          <w:tblCellMar>
            <w:top w:w="0" w:type="dxa"/>
            <w:left w:w="108" w:type="dxa"/>
            <w:bottom w:w="0" w:type="dxa"/>
            <w:right w:w="108" w:type="dxa"/>
          </w:tblCellMar>
        </w:tblPrEx>
        <w:trPr>
          <w:trHeight w:val="2506"/>
        </w:trPr>
        <w:tc>
          <w:tcPr>
            <w:tcW w:w="56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16</w:t>
            </w:r>
          </w:p>
        </w:tc>
        <w:tc>
          <w:tcPr>
            <w:tcW w:w="698"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为交易当事人规避房屋交易税费等非法目的，房地产经纪机构和房地产经纪人员就同一房屋签订不同交易价款的合同提供便利</w:t>
            </w:r>
          </w:p>
        </w:tc>
        <w:tc>
          <w:tcPr>
            <w:tcW w:w="204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30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《房产测绘管理办法》</w:t>
            </w:r>
          </w:p>
        </w:tc>
        <w:tc>
          <w:tcPr>
            <w:tcW w:w="22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1.除处罚决定外其他内容：长期公开（动态调整）；2.处罚决定：20个工作日内。</w:t>
            </w:r>
          </w:p>
        </w:tc>
        <w:tc>
          <w:tcPr>
            <w:tcW w:w="148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住建局</w:t>
            </w:r>
          </w:p>
        </w:tc>
        <w:tc>
          <w:tcPr>
            <w:tcW w:w="15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■公开查阅点</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333333"/>
                <w:spacing w:val="0"/>
                <w:sz w:val="18"/>
                <w:szCs w:val="18"/>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bl>
    <w:p>
      <w:pPr>
        <w:keepNext w:val="0"/>
        <w:keepLines w:val="0"/>
        <w:widowControl/>
        <w:suppressLineNumbers w:val="0"/>
        <w:jc w:val="left"/>
      </w:pPr>
      <w:bookmarkStart w:id="0" w:name="_GoBack"/>
      <w:bookmarkEnd w:id="0"/>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2B6A2F76"/>
    <w:rsid w:val="65273D55"/>
    <w:rsid w:val="658F13A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2023-09-01T10:22:47Z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