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rPr>
          <w:rFonts w:ascii="仿宋_GB2312" w:eastAsia="仿宋_GB2312" w:hAnsi="仿宋_GB2312" w:cs="仿宋_GB2312"/>
          <w:b/>
          <w:kern w:val="0"/>
          <w:sz w:val="32"/>
          <w:szCs w:val="32"/>
        </w:rPr>
      </w:pP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乌苏市水利局单位整体支出绩效</w:t>
      </w:r>
    </w:p>
    <w:p>
      <w:pPr>
        <w:spacing w:line="540" w:lineRule="exact"/>
        <w:jc w:val="center"/>
        <w:outlineLvl w:val="0"/>
        <w:rPr>
          <w:rFonts w:ascii="方正小标宋_GBK" w:eastAsia="方正小标宋_GBK" w:hAnsi="仿宋_GB2312" w:cs="仿宋_GB2312"/>
          <w:kern w:val="0"/>
          <w:sz w:val="44"/>
          <w:szCs w:val="44"/>
        </w:rPr>
      </w:pPr>
      <w:r>
        <w:rPr>
          <w:rFonts w:ascii="方正小标宋_GBK" w:eastAsia="方正小标宋_GBK" w:hAnsi="仿宋_GB2312" w:cs="仿宋_GB2312" w:hint="eastAsia"/>
          <w:kern w:val="0"/>
          <w:sz w:val="44"/>
          <w:szCs w:val="44"/>
        </w:rPr>
        <w:t>自评报告</w:t>
      </w:r>
    </w:p>
    <w:p>
      <w:pPr>
        <w:spacing w:line="540" w:lineRule="exact"/>
        <w:jc w:val="center"/>
        <w:rPr>
          <w:rFonts w:ascii="仿宋_GB2312" w:eastAsia="仿宋_GB2312" w:hAnsi="仿宋_GB2312" w:cs="仿宋_GB2312"/>
          <w:b/>
          <w:kern w:val="0"/>
          <w:sz w:val="32"/>
          <w:szCs w:val="32"/>
        </w:rPr>
      </w:pPr>
    </w:p>
    <w:p>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（2022年度）</w:t>
      </w: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spacing w:line="540" w:lineRule="exact"/>
        <w:jc w:val="center"/>
        <w:rPr>
          <w:rFonts w:ascii="仿宋_GB2312" w:eastAsia="仿宋_GB2312" w:hAnsi="仿宋_GB2312" w:cs="仿宋_GB2312"/>
          <w:kern w:val="0"/>
          <w:sz w:val="32"/>
          <w:szCs w:val="32"/>
        </w:rPr>
      </w:pPr>
    </w:p>
    <w:p>
      <w:pPr>
        <w:pStyle w:val="Heading3"/>
      </w:pPr>
      <w:bookmarkStart w:id="0" w:name="_GoBack"/>
      <w:bookmarkEnd w:id="0"/>
    </w:p>
    <w:p>
      <w:pPr>
        <w:spacing w:line="540" w:lineRule="exact"/>
        <w:rPr>
          <w:rFonts w:ascii="仿宋_GB2312" w:eastAsia="仿宋_GB2312" w:hAnsi="仿宋_GB2312" w:cs="仿宋_GB2312"/>
          <w:kern w:val="0"/>
          <w:sz w:val="32"/>
          <w:szCs w:val="32"/>
        </w:rPr>
      </w:pPr>
    </w:p>
    <w:p>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pPr>
        <w:spacing w:line="700" w:lineRule="exact"/>
        <w:ind w:firstLine="640" w:firstLineChars="20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部门单位名称（公章）：乌苏市水利局</w:t>
      </w:r>
    </w:p>
    <w:p>
      <w:pPr>
        <w:spacing w:line="700" w:lineRule="exact"/>
        <w:ind w:firstLine="640" w:firstLineChars="200"/>
        <w:jc w:val="left"/>
        <w:rPr>
          <w:rFonts w:ascii="仿宋_GB2312" w:eastAsia="仿宋_GB2312" w:hAnsi="仿宋_GB2312" w:cs="仿宋_GB2312" w:hint="eastAsia"/>
          <w:kern w:val="0"/>
          <w:sz w:val="32"/>
          <w:szCs w:val="32"/>
        </w:rPr>
      </w:pPr>
      <w:r>
        <w:rPr>
          <w:rFonts w:ascii="仿宋_GB2312" w:eastAsia="仿宋_GB2312" w:hAnsi="仿宋_GB2312" w:cs="仿宋_GB2312" w:hint="eastAsia"/>
          <w:kern w:val="0"/>
          <w:sz w:val="32"/>
          <w:szCs w:val="32"/>
        </w:rPr>
        <w:t>填报时间：2023年4月17日</w:t>
      </w:r>
    </w:p>
    <w:p>
      <w:pPr>
        <w:pStyle w:val="Heading3"/>
        <w:rPr>
          <w:rFonts w:ascii="仿宋_GB2312" w:eastAsia="仿宋_GB2312" w:hAnsi="仿宋_GB2312" w:cs="仿宋_GB2312" w:hint="eastAsia"/>
          <w:kern w:val="0"/>
          <w:sz w:val="32"/>
          <w:szCs w:val="32"/>
        </w:rPr>
      </w:pPr>
    </w:p>
    <w:p/>
    <w:p>
      <w:pPr>
        <w:pStyle w:val="ListParagraph"/>
        <w:numPr>
          <w:ilvl w:val="0"/>
          <w:numId w:val="1"/>
        </w:numPr>
        <w:snapToGrid w:val="0"/>
        <w:spacing w:line="540" w:lineRule="exact"/>
        <w:ind w:firstLineChars="0"/>
        <w:outlineLvl w:val="0"/>
        <w:rPr>
          <w:rFonts w:ascii="黑体" w:eastAsia="黑体" w:hAnsi="黑体" w:cs="仿宋_GB2312"/>
          <w:color w:val="333333"/>
          <w:sz w:val="32"/>
          <w:szCs w:val="32"/>
        </w:rPr>
      </w:pPr>
      <w:bookmarkStart w:id="1" w:name="_Toc23945_WPSOffice_Level1"/>
      <w:r>
        <w:rPr>
          <w:rFonts w:ascii="黑体" w:eastAsia="黑体" w:hAnsi="黑体" w:cs="仿宋_GB2312" w:hint="eastAsia"/>
          <w:color w:val="333333"/>
          <w:sz w:val="32"/>
          <w:szCs w:val="32"/>
        </w:rPr>
        <w:t>基本概况</w:t>
      </w:r>
      <w:bookmarkEnd w:id="1"/>
    </w:p>
    <w:p>
      <w:pPr>
        <w:pStyle w:val="ListParagraph"/>
        <w:numPr>
          <w:ilvl w:val="0"/>
          <w:numId w:val="2"/>
        </w:numPr>
        <w:snapToGrid w:val="0"/>
        <w:spacing w:line="540" w:lineRule="exact"/>
        <w:ind w:firstLineChars="0"/>
        <w:outlineLvl w:val="1"/>
        <w:rPr>
          <w:rStyle w:val="Strong"/>
          <w:rFonts w:ascii="仿宋_GB2312" w:eastAsia="仿宋_GB2312" w:hAnsi="仿宋_GB2312" w:cs="仿宋_GB2312" w:hint="eastAsia"/>
          <w:bCs w:val="0"/>
          <w:color w:val="333333"/>
          <w:sz w:val="32"/>
          <w:szCs w:val="32"/>
        </w:rPr>
      </w:pPr>
      <w:r>
        <w:rPr>
          <w:rStyle w:val="Strong"/>
          <w:rFonts w:ascii="楷体_GB2312" w:eastAsia="楷体_GB2312" w:hAnsi="仿宋_GB2312" w:cs="仿宋_GB2312" w:hint="eastAsia"/>
          <w:bCs w:val="0"/>
          <w:color w:val="333333"/>
          <w:sz w:val="32"/>
          <w:szCs w:val="32"/>
        </w:rPr>
        <w:t>单位基本情况</w:t>
      </w:r>
      <w:r>
        <w:rPr>
          <w:rStyle w:val="Strong"/>
          <w:rFonts w:ascii="仿宋_GB2312" w:eastAsia="仿宋_GB2312" w:hAnsi="仿宋_GB2312" w:cs="仿宋_GB2312" w:hint="eastAsia"/>
          <w:bCs w:val="0"/>
          <w:color w:val="333333"/>
          <w:sz w:val="32"/>
          <w:szCs w:val="32"/>
        </w:rPr>
        <w:t>:</w:t>
      </w:r>
    </w:p>
    <w:p>
      <w:pPr>
        <w:snapToGrid w:val="0"/>
        <w:spacing w:line="540" w:lineRule="exact"/>
        <w:ind w:firstLine="640" w:firstLineChars="200"/>
        <w:outlineLvl w:val="1"/>
        <w:rPr>
          <w:rStyle w:val="Strong"/>
          <w:rFonts w:ascii="仿宋_GB2312" w:eastAsia="仿宋_GB2312"/>
          <w:color w:val="000000" w:themeColor="text1"/>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14:textFill>
            <w14:solidFill>
              <w14:schemeClr w14:val="tx1"/>
            </w14:solidFill>
          </w14:textFill>
        </w:rPr>
        <w:t>乌苏市水利局为乌苏市人民政府直属的正科级事业单位，其主要职能是：（1）建立和完善各项制度，修编防洪、防洪应急、抗旱应急预案。对险工险段进行重点检查和维护，积极储备防洪物资，落实24小时值班制度。及早动手开展防洪抢险突击队和抗旱应急服务队的组建工作。开展防汛工程维护、维修计划的准备工作。积极争取资金落实列入中小河流近期治理规划项目的实施。在确保防洪安全的前提下，尽量多引、多蓄水，努力增加抗旱水源，最大限度地保证灌溉用水需求。科学调配充分利用河、井、泉、库等各类水源，充分发挥地下水的补充水源作用。（2）按照地区“三个下来、七个起来”的要求，完善地下水资源的管理制度、办法。按照“三条红线”的控制要求，建立以用水总量控制为重点的水资源优化配置制度。严格落实《应急抗旱井管理实施方案》，正确引导用水户合理使用应急抗旱井。（3）加强执法监督管理，完善执法监督制度，加强河道采砂管理，保障河道行洪安全；严格水土保持监督执法检查，及时审查上报水土保持方案；依法查处在灌溉、防洪、河道采砂等方面违反水法规的违法案件。乌苏市水利局无下属单位，下设七个科室，分别为：水利建设管理中心、水政水资源中心、河湖中心、农牧水利中心、吉尔格勒德水利枢纽工程建设管理中心、水政监察大队、局办公室。</w:t>
      </w:r>
      <w:bookmarkStart w:id="2" w:name="_Hlk43849111"/>
      <w:bookmarkEnd w:id="2"/>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r>
        <w:rPr>
          <w:rStyle w:val="Strong"/>
          <w:rFonts w:ascii="仿宋_GB2312" w:eastAsia="仿宋_GB2312" w:hAnsi="仿宋_GB2312" w:cs="仿宋_GB2312" w:hint="eastAsia"/>
          <w:bCs w:val="0"/>
          <w:color w:val="333333"/>
          <w:sz w:val="32"/>
          <w:szCs w:val="32"/>
        </w:rPr>
        <w:t>2.部门机构设置及人员构成</w:t>
      </w:r>
    </w:p>
    <w:p>
      <w:pPr>
        <w:pStyle w:val="ListParagraph"/>
        <w:snapToGrid w:val="0"/>
        <w:spacing w:line="540" w:lineRule="exact"/>
        <w:ind w:firstLine="640"/>
        <w:rPr>
          <w:rStyle w:val="Strong"/>
          <w:rFonts w:ascii="仿宋_GB2312" w:eastAsia="仿宋_GB2312" w:hAnsi="仿宋_GB2312" w:cs="仿宋_GB2312"/>
          <w:b w:val="0"/>
          <w:color w:val="000000" w:themeColor="text1"/>
          <w:sz w:val="32"/>
          <w:szCs w:val="32"/>
          <w14:textFill>
            <w14:solidFill>
              <w14:schemeClr w14:val="tx1"/>
            </w14:solidFill>
          </w14:textFill>
        </w:rPr>
      </w:pPr>
      <w:r>
        <w:rPr>
          <w:rStyle w:val="Strong"/>
          <w:rFonts w:ascii="仿宋_GB2312" w:eastAsia="仿宋_GB2312" w:hAnsi="仿宋_GB2312" w:cs="仿宋_GB2312" w:hint="eastAsia"/>
          <w:b w:val="0"/>
          <w:color w:val="000000" w:themeColor="text1"/>
          <w:sz w:val="32"/>
          <w:szCs w:val="32"/>
          <w14:textFill>
            <w14:solidFill>
              <w14:schemeClr w14:val="tx1"/>
            </w14:solidFill>
          </w14:textFill>
        </w:rPr>
        <w:t>乌苏市水利局编制</w:t>
      </w:r>
      <w:r>
        <w:rPr>
          <w:rStyle w:val="Strong"/>
          <w:rFonts w:ascii="仿宋_GB2312" w:eastAsia="仿宋_GB2312" w:hAnsi="仿宋_GB2312" w:cs="仿宋_GB2312" w:hint="eastAsia"/>
          <w:b w:val="0"/>
          <w:color w:val="000000" w:themeColor="text1"/>
          <w:sz w:val="32"/>
          <w:szCs w:val="32"/>
          <w:lang w:val="en-US" w:eastAsia="zh-CN"/>
          <w14:textFill>
            <w14:solidFill>
              <w14:schemeClr w14:val="tx1"/>
            </w14:solidFill>
          </w14:textFill>
        </w:rPr>
        <w:t>230</w:t>
      </w:r>
      <w:r>
        <w:rPr>
          <w:rStyle w:val="Strong"/>
          <w:rFonts w:ascii="仿宋_GB2312" w:eastAsia="仿宋_GB2312" w:hAnsi="仿宋_GB2312" w:cs="仿宋_GB2312" w:hint="eastAsia"/>
          <w:b w:val="0"/>
          <w:color w:val="000000" w:themeColor="text1"/>
          <w:sz w:val="32"/>
          <w:szCs w:val="32"/>
          <w14:textFill>
            <w14:solidFill>
              <w14:schemeClr w14:val="tx1"/>
            </w14:solidFill>
          </w14:textFill>
        </w:rPr>
        <w:t>名，其中：行政编制9名，机关工勤事业编制39名</w:t>
      </w:r>
      <w:r>
        <w:rPr>
          <w:rStyle w:val="Strong"/>
          <w:rFonts w:ascii="仿宋_GB2312" w:eastAsia="仿宋_GB2312" w:hAnsi="仿宋_GB2312" w:cs="仿宋_GB2312" w:hint="eastAsia"/>
          <w:b w:val="0"/>
          <w:color w:val="000000" w:themeColor="text1"/>
          <w:sz w:val="32"/>
          <w:szCs w:val="32"/>
          <w:lang w:val="en-US" w:eastAsia="zh-CN"/>
          <w14:textFill>
            <w14:solidFill>
              <w14:schemeClr w14:val="tx1"/>
            </w14:solidFill>
          </w14:textFill>
        </w:rPr>
        <w:t>,自收自支事业编制182人</w:t>
      </w:r>
      <w:r>
        <w:rPr>
          <w:rStyle w:val="Strong"/>
          <w:rFonts w:ascii="仿宋_GB2312" w:eastAsia="仿宋_GB2312" w:hAnsi="仿宋_GB2312" w:cs="仿宋_GB2312" w:hint="eastAsia"/>
          <w:b w:val="0"/>
          <w:color w:val="000000" w:themeColor="text1"/>
          <w:sz w:val="32"/>
          <w:szCs w:val="32"/>
          <w14:textFill>
            <w14:solidFill>
              <w14:schemeClr w14:val="tx1"/>
            </w14:solidFill>
          </w14:textFill>
        </w:rPr>
        <w:t>。实有人员157人。</w:t>
      </w:r>
    </w:p>
    <w:p>
      <w:pPr>
        <w:pStyle w:val="ListParagraph"/>
        <w:snapToGrid w:val="0"/>
        <w:spacing w:line="540" w:lineRule="exact"/>
        <w:ind w:firstLine="643"/>
        <w:outlineLvl w:val="2"/>
        <w:rPr>
          <w:rStyle w:val="Strong"/>
          <w:rFonts w:ascii="仿宋_GB2312" w:eastAsia="仿宋_GB2312" w:hAnsi="仿宋_GB2312" w:cs="仿宋_GB2312"/>
          <w:bCs w:val="0"/>
          <w:color w:val="333333"/>
          <w:sz w:val="32"/>
          <w:szCs w:val="32"/>
        </w:rPr>
      </w:pPr>
      <w:r>
        <w:rPr>
          <w:rStyle w:val="Strong"/>
          <w:rFonts w:ascii="仿宋_GB2312" w:eastAsia="仿宋_GB2312" w:hAnsi="仿宋_GB2312" w:cs="仿宋_GB2312" w:hint="eastAsia"/>
          <w:bCs w:val="0"/>
          <w:color w:val="333333"/>
          <w:sz w:val="32"/>
          <w:szCs w:val="32"/>
        </w:rPr>
        <w:t>3.年度重点工作</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sz w:val="32"/>
          <w:szCs w:val="32"/>
        </w:rPr>
        <w:t>按照水利部、自治区党委、塔城地委、乌苏市委关于推动新阶段水利高质量发展、重点开发开放试验区建设和2022年各级水利工作会议的安排部署, 围绕水利高质量发展、水生态治理、水安全保障三大重点目标，扎实做好全年水利工作。</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（一）坚持科学谋划，扎实推进水利高质量发展</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sz w:val="32"/>
          <w:szCs w:val="32"/>
        </w:rPr>
        <w:t>项目储备和前期工作方面</w:t>
      </w:r>
      <w:r>
        <w:rPr>
          <w:rFonts w:ascii="仿宋_GB2312" w:eastAsia="仿宋_GB2312" w:hAnsi="仿宋_GB2312" w:cs="仿宋_GB2312" w:hint="eastAsia"/>
          <w:sz w:val="32"/>
          <w:szCs w:val="32"/>
        </w:rPr>
        <w:t>。围绕国家水网主骨架和大动脉，重点水源、灌区、蓄滞洪区建设和现代化改造等五大涉及水利行业基础设施领域内容，结合“十四五”规划和各类专项规划，</w:t>
      </w:r>
      <w:r>
        <w:rPr>
          <w:rFonts w:ascii="仿宋" w:eastAsia="仿宋" w:hAnsi="仿宋" w:cs="仿宋" w:hint="eastAsia"/>
          <w:sz w:val="32"/>
          <w:szCs w:val="32"/>
        </w:rPr>
        <w:t>加快完成乌苏市2023年及“十四五”期间重点水利推进建设项目的前期工作，</w:t>
      </w:r>
      <w:r>
        <w:rPr>
          <w:rFonts w:ascii="仿宋_GB2312" w:eastAsia="仿宋_GB2312" w:hAnsi="仿宋_GB2312" w:cs="仿宋_GB2312" w:hint="eastAsia"/>
          <w:sz w:val="32"/>
          <w:szCs w:val="32"/>
        </w:rPr>
        <w:t>梳理上报2022年-2025年现代化基础设施建设项目21项，</w:t>
      </w:r>
      <w:r>
        <w:rPr>
          <w:rFonts w:ascii="仿宋_GB2312" w:eastAsia="仿宋_GB2312" w:hint="eastAsia"/>
          <w:sz w:val="32"/>
          <w:szCs w:val="32"/>
        </w:rPr>
        <w:t>项目估算投资482793.8万元</w:t>
      </w:r>
      <w:r>
        <w:rPr>
          <w:rFonts w:ascii="仿宋_GB2312" w:eastAsia="仿宋_GB2312" w:hAnsi="仿宋_GB2312" w:cs="仿宋_GB2312" w:hint="eastAsia"/>
          <w:sz w:val="32"/>
          <w:szCs w:val="32"/>
        </w:rPr>
        <w:t>，其中：国家水网主骨架项目1项；重点水源项目3项；灌区改造项目4项；蓄滞洪区建设9项；规模化供水工程4项。目前，项目已录入国家重大项目库，前期工作已陆续开展，</w:t>
      </w:r>
      <w:r>
        <w:rPr>
          <w:rFonts w:ascii="仿宋" w:eastAsia="仿宋" w:hAnsi="仿宋" w:cs="仿宋" w:hint="eastAsia"/>
          <w:sz w:val="32"/>
          <w:szCs w:val="32"/>
        </w:rPr>
        <w:t>争取在“十四五”期间落地实施。</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 w:eastAsia="仿宋" w:hAnsi="仿宋" w:cs="仿宋" w:hint="eastAsia"/>
          <w:b/>
          <w:bCs/>
          <w:sz w:val="32"/>
          <w:szCs w:val="32"/>
        </w:rPr>
        <w:t>水利工程建设方面</w:t>
      </w:r>
      <w:r>
        <w:rPr>
          <w:rFonts w:ascii="楷体_GB2312" w:eastAsia="楷体_GB2312" w:hAnsi="楷体_GB2312" w:cs="楷体_GB2312" w:hint="eastAsia"/>
          <w:b/>
          <w:bCs/>
          <w:sz w:val="32"/>
          <w:szCs w:val="32"/>
        </w:rPr>
        <w:t>。</w:t>
      </w:r>
      <w:r>
        <w:rPr>
          <w:rFonts w:ascii="仿宋_GB2312" w:eastAsia="仿宋_GB2312" w:hAnsi="仿宋_GB2312" w:cs="仿宋_GB2312" w:hint="eastAsia"/>
          <w:b/>
          <w:bCs/>
          <w:sz w:val="32"/>
          <w:szCs w:val="32"/>
        </w:rPr>
        <w:t>做好重点项目推进。</w:t>
      </w:r>
      <w:bookmarkStart w:id="3" w:name="_Hlk113157105"/>
      <w:r>
        <w:rPr>
          <w:rFonts w:ascii="仿宋_GB2312" w:eastAsia="仿宋_GB2312" w:hAnsi="仿宋_GB2312" w:cs="仿宋_GB2312" w:hint="eastAsia"/>
          <w:sz w:val="32"/>
          <w:szCs w:val="32"/>
        </w:rPr>
        <w:t>加大推进吉尔格勒德水利枢纽工程建设力度，</w:t>
      </w:r>
      <w:r>
        <w:rPr>
          <w:rFonts w:ascii="仿宋_GB2312" w:eastAsia="仿宋_GB2312" w:hAnsi="仿宋_GB2312" w:cs="仿宋_GB2312" w:hint="eastAsia"/>
          <w:sz w:val="32"/>
          <w:szCs w:val="32"/>
        </w:rPr>
        <w:t>市委、市政府</w:t>
      </w:r>
      <w:r>
        <w:rPr>
          <w:rFonts w:ascii="仿宋_GB2312" w:eastAsia="仿宋_GB2312" w:hAnsi="仿宋_GB2312" w:cs="仿宋_GB2312" w:hint="eastAsia"/>
          <w:sz w:val="32"/>
          <w:szCs w:val="32"/>
        </w:rPr>
        <w:t>高位推动，上半年多次召开重点项目推进会，制定推进工作方案，到排工作任务和完成时限，全力解决输电线路建设过境使用林草地，项目建设管理费、坝后电站建设资金缺口，后期配套工程的超前谋划，竣工验收和下闸蓄水等问题。7月29日完成下闸蓄水阶段移民自验，8月27日完成下闸蓄水阶段移民初验，12月9日完成移民终验。年内完成了完成大坝主体</w:t>
      </w:r>
      <w:r>
        <w:rPr>
          <w:rFonts w:ascii="仿宋_GB2312" w:eastAsia="仿宋_GB2312" w:hAnsi="仿宋_GB2312" w:cs="仿宋_GB2312" w:hint="eastAsia"/>
          <w:sz w:val="32"/>
          <w:szCs w:val="28"/>
        </w:rPr>
        <w:t>坝顶防浪墙全部浇筑及其他收尾工程，电站厂房已开工建设</w:t>
      </w:r>
      <w:r>
        <w:rPr>
          <w:rFonts w:ascii="仿宋_GB2312" w:eastAsia="仿宋_GB2312" w:hAnsi="仿宋_GB2312" w:cs="仿宋_GB2312" w:hint="eastAsia"/>
          <w:sz w:val="32"/>
          <w:szCs w:val="32"/>
        </w:rPr>
        <w:t>。本年度完成投资2278万元，累计完成投资83612万元。</w:t>
      </w:r>
      <w:r>
        <w:rPr>
          <w:rFonts w:ascii="仿宋_GB2312" w:eastAsia="仿宋_GB2312" w:hAnsi="仿宋_GB2312" w:cs="仿宋_GB2312" w:hint="eastAsia"/>
          <w:b/>
          <w:bCs/>
          <w:sz w:val="32"/>
          <w:szCs w:val="32"/>
        </w:rPr>
        <w:t>加大新建工程建设力度。</w:t>
      </w:r>
      <w:r>
        <w:rPr>
          <w:rFonts w:ascii="仿宋_GB2312" w:eastAsia="仿宋_GB2312" w:hAnsi="仿宋_GB2312" w:cs="仿宋_GB2312" w:hint="eastAsia"/>
          <w:sz w:val="32"/>
          <w:szCs w:val="32"/>
        </w:rPr>
        <w:t>2022年度新建水利项目8个，计划完成投资5673.71万元，</w:t>
      </w:r>
      <w:r>
        <w:rPr>
          <w:rFonts w:ascii="仿宋_GB2312" w:eastAsia="仿宋_GB2312" w:hAnsi="仿宋_GB2312" w:cs="仿宋_GB2312" w:hint="eastAsia"/>
          <w:sz w:val="32"/>
          <w:szCs w:val="32"/>
        </w:rPr>
        <w:t>截至目前</w:t>
      </w:r>
      <w:r>
        <w:rPr>
          <w:rFonts w:ascii="仿宋_GB2312" w:eastAsia="仿宋_GB2312" w:hAnsi="仿宋_GB2312" w:cs="仿宋_GB2312" w:hint="eastAsia"/>
          <w:sz w:val="32"/>
          <w:szCs w:val="32"/>
        </w:rPr>
        <w:t>，累计完成投资3934.31万元，完成全部任务的69.3%。</w:t>
      </w:r>
      <w:r>
        <w:rPr>
          <w:rFonts w:ascii="仿宋_GB2312" w:hAnsi="仿宋_GB2312" w:cs="仿宋_GB2312" w:hint="eastAsia"/>
          <w:sz w:val="32"/>
          <w:szCs w:val="32"/>
        </w:rPr>
        <w:t>7</w:t>
      </w:r>
      <w:r>
        <w:rPr>
          <w:rFonts w:ascii="仿宋_GB2312" w:eastAsia="仿宋_GB2312" w:hAnsi="仿宋_GB2312" w:cs="仿宋_GB2312" w:hint="eastAsia"/>
          <w:sz w:val="32"/>
          <w:szCs w:val="32"/>
        </w:rPr>
        <w:t>个项目已全部完工</w:t>
      </w:r>
      <w:r>
        <w:rPr>
          <w:rFonts w:ascii="仿宋_GB2312" w:hAnsi="仿宋_GB2312" w:cs="仿宋_GB2312" w:hint="eastAsia"/>
          <w:sz w:val="32"/>
          <w:szCs w:val="32"/>
        </w:rPr>
        <w:t>，</w:t>
      </w:r>
      <w:r>
        <w:rPr>
          <w:rFonts w:ascii="仿宋_GB2312" w:eastAsia="仿宋_GB2312" w:hAnsi="仿宋_GB2312" w:cs="仿宋_GB2312" w:hint="eastAsia"/>
          <w:sz w:val="32"/>
          <w:szCs w:val="32"/>
        </w:rPr>
        <w:t>乌苏市</w:t>
      </w:r>
      <w:r>
        <w:rPr>
          <w:rFonts w:ascii="仿宋_GB2312" w:eastAsia="仿宋_GB2312" w:hint="eastAsia"/>
          <w:sz w:val="32"/>
          <w:szCs w:val="32"/>
        </w:rPr>
        <w:t>古尔图河中小河</w:t>
      </w:r>
      <w:r>
        <w:rPr>
          <w:rFonts w:ascii="仿宋_GB2312" w:eastAsia="仿宋_GB2312" w:hAnsi="仿宋_GB2312" w:cs="仿宋_GB2312" w:hint="eastAsia"/>
          <w:sz w:val="32"/>
          <w:szCs w:val="32"/>
        </w:rPr>
        <w:t>流治理工程于2022年7月13日开工建设，目前未完工。</w:t>
      </w:r>
      <w:bookmarkEnd w:id="3"/>
      <w:r>
        <w:rPr>
          <w:rFonts w:ascii="仿宋_GB2312" w:eastAsia="仿宋_GB2312" w:hAnsi="仿宋_GB2312" w:cs="仿宋_GB2312" w:hint="eastAsia"/>
          <w:b/>
          <w:bCs/>
          <w:sz w:val="32"/>
        </w:rPr>
        <w:t>做好移民安置和补偿工作。</w:t>
      </w:r>
      <w:r>
        <w:rPr>
          <w:rFonts w:ascii="仿宋_GB2312" w:eastAsia="仿宋_GB2312" w:hAnsi="仿宋_GB2312" w:cs="仿宋_GB2312" w:hint="eastAsia"/>
          <w:sz w:val="32"/>
        </w:rPr>
        <w:t>做好大中型水库后扶“十四五”规划及后扶移民人口管理工作</w:t>
      </w:r>
      <w:r>
        <w:rPr>
          <w:rFonts w:ascii="仿宋_GB2312" w:eastAsia="仿宋_GB2312" w:hAnsi="仿宋_GB2312" w:cs="仿宋_GB2312" w:hint="eastAsia"/>
          <w:sz w:val="32"/>
          <w:szCs w:val="32"/>
        </w:rPr>
        <w:t>；</w:t>
      </w:r>
      <w:r>
        <w:rPr>
          <w:rFonts w:ascii="仿宋_GB2312" w:eastAsia="仿宋_GB2312" w:hAnsi="仿宋_GB2312" w:cs="仿宋_GB2312" w:hint="eastAsia"/>
          <w:sz w:val="32"/>
        </w:rPr>
        <w:t>全力推进JK输水管线工程移民安置工作</w:t>
      </w:r>
      <w:r>
        <w:rPr>
          <w:rFonts w:ascii="仿宋_GB2312" w:eastAsia="仿宋_GB2312" w:hAnsi="仿宋_GB2312" w:cs="仿宋_GB2312" w:hint="eastAsia"/>
          <w:sz w:val="32"/>
          <w:szCs w:val="32"/>
        </w:rPr>
        <w:t>。</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楷体_GB2312" w:eastAsia="楷体_GB2312" w:hAnsi="楷体_GB2312" w:cs="楷体_GB2312" w:hint="eastAsia"/>
          <w:b/>
          <w:bCs/>
          <w:sz w:val="32"/>
          <w:szCs w:val="32"/>
        </w:rPr>
        <w:t>水利改革方面。</w:t>
      </w:r>
      <w:r>
        <w:rPr>
          <w:rFonts w:ascii="仿宋_GB2312" w:eastAsia="仿宋_GB2312" w:hAnsi="仿宋_GB2312" w:cs="仿宋_GB2312" w:hint="eastAsia"/>
          <w:sz w:val="32"/>
          <w:szCs w:val="32"/>
        </w:rPr>
        <w:t>完成了农村人畜饮用水以2019年为基准年成本水价调整批复，自2022年7月1日起执行调整后的水价。深入推进水利工程产权制度改革，进一步规范水资源市场经营管理行为，对农用机电井、地表水蓄水池经营性售水行为依法进行规范管理，合理定价。</w:t>
      </w:r>
      <w:r>
        <w:rPr>
          <w:rFonts w:ascii="仿宋_GB2312" w:eastAsia="仿宋_GB2312" w:hAnsi="仿宋_GB2312" w:cs="仿宋_GB2312" w:hint="eastAsia"/>
          <w:b/>
          <w:bCs/>
          <w:sz w:val="32"/>
          <w:szCs w:val="32"/>
        </w:rPr>
        <w:t>积极推动水利招商引资项目落地。</w:t>
      </w:r>
      <w:r>
        <w:rPr>
          <w:rFonts w:ascii="仿宋_GB2312" w:eastAsia="仿宋_GB2312" w:hAnsi="仿宋_GB2312" w:cs="仿宋_GB2312" w:hint="eastAsia"/>
          <w:sz w:val="32"/>
          <w:szCs w:val="32"/>
        </w:rPr>
        <w:t>紧紧抓住塔城开发开放实验区的大好时机，结合我市产业招商情况，主动靠前，认真梳理有收益的水利项目，深化水利发展投融资改革，推动本地水务企业与国内知名水务集团合作，有效破解水利投资不足的瓶颈。</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水利信息化建设方面。</w:t>
      </w:r>
      <w:r>
        <w:rPr>
          <w:rFonts w:ascii="仿宋" w:eastAsia="仿宋" w:hAnsi="仿宋" w:hint="eastAsia"/>
          <w:sz w:val="32"/>
          <w:szCs w:val="32"/>
        </w:rPr>
        <w:t>积极稳妥开展水利灌溉信息化建设，对四棵树河等五个大中型灌区83处</w:t>
      </w:r>
      <w:r>
        <w:rPr>
          <w:rFonts w:ascii="仿宋" w:eastAsia="仿宋" w:hAnsi="仿宋"/>
          <w:sz w:val="32"/>
          <w:szCs w:val="32"/>
        </w:rPr>
        <w:t>取水口</w:t>
      </w:r>
      <w:r>
        <w:rPr>
          <w:rFonts w:ascii="仿宋" w:eastAsia="仿宋" w:hAnsi="仿宋" w:hint="eastAsia"/>
          <w:sz w:val="32"/>
          <w:szCs w:val="32"/>
        </w:rPr>
        <w:t>安装自动化量水及配套设施</w:t>
      </w:r>
      <w:r>
        <w:rPr>
          <w:rFonts w:ascii="仿宋" w:eastAsia="仿宋" w:hAnsi="仿宋"/>
          <w:sz w:val="32"/>
          <w:szCs w:val="32"/>
        </w:rPr>
        <w:t>、取</w:t>
      </w:r>
      <w:r>
        <w:rPr>
          <w:rFonts w:ascii="仿宋" w:eastAsia="仿宋" w:hAnsi="仿宋" w:hint="eastAsia"/>
          <w:sz w:val="32"/>
          <w:szCs w:val="32"/>
        </w:rPr>
        <w:t>水计量点雷达水位计，2022年已完成标准断面建设22处，测桥安装40处，龙门架安装22处，</w:t>
      </w:r>
      <w:r>
        <w:rPr>
          <w:rFonts w:ascii="仿宋" w:eastAsia="仿宋" w:hAnsi="仿宋"/>
          <w:sz w:val="32"/>
          <w:szCs w:val="32"/>
        </w:rPr>
        <w:t>取水口</w:t>
      </w:r>
      <w:r>
        <w:rPr>
          <w:rFonts w:ascii="仿宋" w:eastAsia="仿宋" w:hAnsi="仿宋" w:hint="eastAsia"/>
          <w:sz w:val="32"/>
          <w:szCs w:val="32"/>
        </w:rPr>
        <w:t>量测水设施安装80处。持续推进水工程智能巡检建设，2022年对</w:t>
      </w:r>
      <w:r>
        <w:rPr>
          <w:rFonts w:ascii="仿宋" w:eastAsia="仿宋" w:hAnsi="仿宋" w:cs="仿宋" w:hint="eastAsia"/>
          <w:sz w:val="32"/>
          <w:szCs w:val="32"/>
        </w:rPr>
        <w:t>18座</w:t>
      </w:r>
      <w:r>
        <w:rPr>
          <w:rFonts w:ascii="仿宋" w:eastAsia="仿宋" w:hAnsi="仿宋" w:cs="仿宋"/>
          <w:sz w:val="32"/>
          <w:szCs w:val="32"/>
        </w:rPr>
        <w:t>水库</w:t>
      </w:r>
      <w:r>
        <w:rPr>
          <w:rFonts w:ascii="仿宋" w:eastAsia="仿宋" w:hAnsi="仿宋" w:cs="仿宋" w:hint="eastAsia"/>
          <w:sz w:val="32"/>
          <w:szCs w:val="32"/>
        </w:rPr>
        <w:t>安装了智能巡检系统，完成对水库的智能化巡检工作，</w:t>
      </w:r>
      <w:r>
        <w:rPr>
          <w:rFonts w:ascii="仿宋" w:eastAsia="仿宋" w:hAnsi="仿宋" w:cs="仿宋"/>
          <w:sz w:val="32"/>
          <w:szCs w:val="32"/>
        </w:rPr>
        <w:t>节约</w:t>
      </w:r>
      <w:r>
        <w:rPr>
          <w:rFonts w:ascii="仿宋" w:eastAsia="仿宋" w:hAnsi="仿宋" w:cs="仿宋" w:hint="eastAsia"/>
          <w:sz w:val="32"/>
          <w:szCs w:val="32"/>
        </w:rPr>
        <w:t>了</w:t>
      </w:r>
      <w:r>
        <w:rPr>
          <w:rFonts w:ascii="仿宋" w:eastAsia="仿宋" w:hAnsi="仿宋" w:cs="仿宋"/>
          <w:sz w:val="32"/>
          <w:szCs w:val="32"/>
        </w:rPr>
        <w:t>人力成本</w:t>
      </w:r>
      <w:r>
        <w:rPr>
          <w:rFonts w:ascii="仿宋" w:eastAsia="仿宋" w:hAnsi="仿宋" w:cs="仿宋" w:hint="eastAsia"/>
          <w:sz w:val="32"/>
          <w:szCs w:val="32"/>
        </w:rPr>
        <w:t>，提高了工作效率。</w:t>
      </w:r>
      <w:r>
        <w:rPr>
          <w:rFonts w:ascii="仿宋_GB2312" w:eastAsia="仿宋_GB2312" w:hAnsi="仿宋_GB2312" w:cs="仿宋_GB2312" w:hint="eastAsia"/>
          <w:sz w:val="32"/>
          <w:szCs w:val="32"/>
        </w:rPr>
        <w:t>引进长江委信息中心牵头在我市组建新疆智慧水利研发中心和创新实践基地，</w:t>
      </w:r>
      <w:r>
        <w:rPr>
          <w:rFonts w:ascii="仿宋_GB2312" w:eastAsia="仿宋_GB2312" w:hAnsi="仿宋_GB2312" w:cs="仿宋_GB2312" w:hint="eastAsia"/>
          <w:sz w:val="32"/>
          <w:szCs w:val="32"/>
        </w:rPr>
        <w:t>辐射</w:t>
      </w:r>
      <w:r>
        <w:rPr>
          <w:rFonts w:ascii="仿宋_GB2312" w:eastAsia="仿宋_GB2312" w:hAnsi="仿宋_GB2312" w:cs="仿宋_GB2312" w:hint="eastAsia"/>
          <w:sz w:val="32"/>
          <w:szCs w:val="32"/>
        </w:rPr>
        <w:t>带动水利信息化建设，重点加强水利信息化基础设施建设、信息化资源整合与共享。</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（二）坚持水生态文明建设，全面加强水生态治理</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在水资源管理方面，</w:t>
      </w:r>
      <w:r>
        <w:rPr>
          <w:rFonts w:ascii="仿宋_GB2312" w:eastAsia="仿宋_GB2312" w:hAnsi="仿宋_GB2312" w:cs="仿宋_GB2312" w:hint="eastAsia"/>
          <w:sz w:val="32"/>
          <w:szCs w:val="32"/>
        </w:rPr>
        <w:t>根据新疆用水总量控制方案，出台《乌苏市用水总量控制方案》，分解2022年度自治区下达我市用水总量控制指标4.9912亿m</w:t>
      </w:r>
      <w:r>
        <w:rPr>
          <w:rFonts w:ascii="仿宋_GB2312" w:eastAsia="仿宋_GB2312" w:hAnsi="仿宋_GB2312" w:cs="仿宋_GB2312" w:hint="eastAsia"/>
          <w:sz w:val="32"/>
          <w:szCs w:val="32"/>
          <w:vertAlign w:val="superscript"/>
        </w:rPr>
        <w:t>3</w:t>
      </w:r>
      <w:r>
        <w:rPr>
          <w:rFonts w:ascii="仿宋_GB2312" w:eastAsia="仿宋_GB2312" w:hAnsi="仿宋_GB2312" w:cs="仿宋_GB2312" w:hint="eastAsia"/>
          <w:sz w:val="32"/>
          <w:szCs w:val="32"/>
        </w:rPr>
        <w:t>，</w:t>
      </w:r>
      <w:r>
        <w:rPr>
          <w:rFonts w:ascii="仿宋" w:eastAsia="仿宋" w:hAnsi="仿宋" w:hint="eastAsia"/>
          <w:sz w:val="32"/>
          <w:szCs w:val="32"/>
        </w:rPr>
        <w:t>其中：地表水3.6525亿m</w:t>
      </w:r>
      <w:r>
        <w:rPr>
          <w:rFonts w:ascii="仿宋" w:eastAsia="仿宋" w:hAnsi="仿宋" w:hint="eastAsia"/>
          <w:sz w:val="32"/>
          <w:szCs w:val="32"/>
          <w:vertAlign w:val="superscript"/>
        </w:rPr>
        <w:t>3</w:t>
      </w:r>
      <w:r>
        <w:rPr>
          <w:rFonts w:ascii="仿宋" w:eastAsia="仿宋" w:hAnsi="仿宋" w:hint="eastAsia"/>
          <w:sz w:val="32"/>
          <w:szCs w:val="32"/>
        </w:rPr>
        <w:t>，地下水1.3087亿m</w:t>
      </w:r>
      <w:r>
        <w:rPr>
          <w:rFonts w:ascii="仿宋" w:eastAsia="仿宋" w:hAnsi="仿宋" w:hint="eastAsia"/>
          <w:sz w:val="32"/>
          <w:szCs w:val="32"/>
          <w:vertAlign w:val="superscript"/>
        </w:rPr>
        <w:t>3</w:t>
      </w:r>
      <w:r>
        <w:rPr>
          <w:rFonts w:ascii="仿宋" w:eastAsia="仿宋" w:hAnsi="仿宋" w:hint="eastAsia"/>
          <w:sz w:val="32"/>
          <w:szCs w:val="32"/>
        </w:rPr>
        <w:t>。实际用水量为9.8951亿m</w:t>
      </w:r>
      <w:r>
        <w:rPr>
          <w:rFonts w:ascii="仿宋" w:eastAsia="仿宋" w:hAnsi="仿宋" w:hint="eastAsia"/>
          <w:sz w:val="32"/>
          <w:szCs w:val="32"/>
          <w:vertAlign w:val="superscript"/>
        </w:rPr>
        <w:t>3</w:t>
      </w:r>
      <w:r>
        <w:rPr>
          <w:rFonts w:ascii="仿宋" w:eastAsia="仿宋" w:hAnsi="仿宋" w:hint="eastAsia"/>
          <w:sz w:val="32"/>
          <w:szCs w:val="32"/>
        </w:rPr>
        <w:t>,</w:t>
      </w:r>
      <w:r>
        <w:rPr>
          <w:rFonts w:ascii="Times New Roman" w:eastAsia="仿宋" w:hAnsi="Times New Roman" w:hint="eastAsia"/>
          <w:sz w:val="32"/>
          <w:szCs w:val="32"/>
        </w:rPr>
        <w:t xml:space="preserve"> 超“</w:t>
      </w:r>
      <w:r>
        <w:rPr>
          <w:rFonts w:ascii="Times New Roman" w:eastAsia="仿宋" w:hAnsi="Times New Roman"/>
          <w:sz w:val="32"/>
          <w:szCs w:val="32"/>
        </w:rPr>
        <w:t>三条红线</w:t>
      </w:r>
      <w:r>
        <w:rPr>
          <w:rFonts w:ascii="Times New Roman" w:eastAsia="仿宋" w:hAnsi="Times New Roman" w:hint="eastAsia"/>
          <w:sz w:val="32"/>
          <w:szCs w:val="32"/>
        </w:rPr>
        <w:t>”控制指标</w:t>
      </w:r>
      <w:r>
        <w:rPr>
          <w:rFonts w:ascii="仿宋" w:eastAsia="仿宋" w:hAnsi="仿宋" w:cs="仿宋" w:hint="eastAsia"/>
          <w:sz w:val="32"/>
          <w:szCs w:val="32"/>
        </w:rPr>
        <w:t>4.9039</w:t>
      </w:r>
      <w:r>
        <w:rPr>
          <w:rFonts w:ascii="仿宋" w:eastAsia="仿宋" w:hAnsi="仿宋" w:hint="eastAsia"/>
          <w:sz w:val="32"/>
          <w:szCs w:val="32"/>
        </w:rPr>
        <w:t>亿m</w:t>
      </w:r>
      <w:r>
        <w:rPr>
          <w:rFonts w:ascii="仿宋" w:eastAsia="仿宋" w:hAnsi="仿宋" w:hint="eastAsia"/>
          <w:sz w:val="32"/>
          <w:szCs w:val="32"/>
          <w:vertAlign w:val="superscript"/>
        </w:rPr>
        <w:t>3</w:t>
      </w:r>
      <w:r>
        <w:rPr>
          <w:rFonts w:ascii="仿宋" w:eastAsia="仿宋" w:hAnsi="仿宋" w:hint="eastAsia"/>
          <w:sz w:val="32"/>
          <w:szCs w:val="32"/>
        </w:rPr>
        <w:t>，其中地表水4.28亿m</w:t>
      </w:r>
      <w:r>
        <w:rPr>
          <w:rFonts w:ascii="仿宋" w:eastAsia="仿宋" w:hAnsi="仿宋" w:hint="eastAsia"/>
          <w:sz w:val="32"/>
          <w:szCs w:val="32"/>
          <w:vertAlign w:val="superscript"/>
        </w:rPr>
        <w:t>3</w:t>
      </w:r>
      <w:r>
        <w:rPr>
          <w:rFonts w:ascii="仿宋" w:eastAsia="仿宋" w:hAnsi="仿宋" w:hint="eastAsia"/>
          <w:sz w:val="32"/>
          <w:szCs w:val="32"/>
        </w:rPr>
        <w:t>，超用水量0.6275亿m</w:t>
      </w:r>
      <w:r>
        <w:rPr>
          <w:rFonts w:ascii="仿宋" w:eastAsia="仿宋" w:hAnsi="仿宋" w:hint="eastAsia"/>
          <w:sz w:val="32"/>
          <w:szCs w:val="32"/>
          <w:vertAlign w:val="superscript"/>
        </w:rPr>
        <w:t>3</w:t>
      </w:r>
      <w:r>
        <w:rPr>
          <w:rFonts w:ascii="仿宋" w:eastAsia="仿宋" w:hAnsi="仿宋" w:hint="eastAsia"/>
          <w:sz w:val="32"/>
          <w:szCs w:val="32"/>
        </w:rPr>
        <w:t>，超控制指标17.2%；地下水5.5151亿m</w:t>
      </w:r>
      <w:r>
        <w:rPr>
          <w:rFonts w:ascii="仿宋" w:eastAsia="仿宋" w:hAnsi="仿宋" w:hint="eastAsia"/>
          <w:sz w:val="32"/>
          <w:szCs w:val="32"/>
          <w:vertAlign w:val="superscript"/>
        </w:rPr>
        <w:t>3</w:t>
      </w:r>
      <w:r>
        <w:rPr>
          <w:rFonts w:ascii="仿宋" w:eastAsia="仿宋" w:hAnsi="仿宋" w:hint="eastAsia"/>
          <w:sz w:val="32"/>
          <w:szCs w:val="32"/>
        </w:rPr>
        <w:t>，超水量4.2064亿m</w:t>
      </w:r>
      <w:r>
        <w:rPr>
          <w:rFonts w:ascii="仿宋" w:eastAsia="仿宋" w:hAnsi="仿宋" w:hint="eastAsia"/>
          <w:sz w:val="32"/>
          <w:szCs w:val="32"/>
          <w:vertAlign w:val="superscript"/>
        </w:rPr>
        <w:t>3</w:t>
      </w:r>
      <w:r>
        <w:rPr>
          <w:rFonts w:ascii="仿宋" w:eastAsia="仿宋" w:hAnsi="仿宋" w:hint="eastAsia"/>
          <w:sz w:val="32"/>
          <w:szCs w:val="32"/>
        </w:rPr>
        <w:t>，超控制指标321.1%。</w:t>
      </w:r>
      <w:r>
        <w:rPr>
          <w:rFonts w:ascii="仿宋_GB2312" w:eastAsia="仿宋_GB2312" w:hAnsi="仿宋_GB2312" w:cs="仿宋_GB2312" w:hint="eastAsia"/>
          <w:b/>
          <w:bCs/>
          <w:sz w:val="32"/>
          <w:szCs w:val="32"/>
        </w:rPr>
        <w:t>强化地下水超采治理，</w:t>
      </w:r>
      <w:r>
        <w:rPr>
          <w:rFonts w:ascii="仿宋_GB2312" w:eastAsia="仿宋_GB2312" w:hAnsi="仿宋_GB2312" w:cs="仿宋_GB2312" w:hint="eastAsia"/>
          <w:sz w:val="32"/>
          <w:szCs w:val="32"/>
        </w:rPr>
        <w:t>落实年度区域地下水压减方案、退减灌溉面积内机电井关停和井河混灌区限采、地表水灌区机电井关停和限采等治理措施；严控新增审批地下水建设项目；累计依法关停城市公共供水管网覆盖范围内的生活自备水源机电井89眼。</w:t>
      </w:r>
      <w:r>
        <w:rPr>
          <w:rFonts w:ascii="仿宋_GB2312" w:eastAsia="仿宋_GB2312" w:hAnsi="仿宋_GB2312" w:cs="仿宋_GB2312" w:hint="eastAsia"/>
          <w:b/>
          <w:bCs/>
          <w:sz w:val="32"/>
          <w:szCs w:val="32"/>
        </w:rPr>
        <w:t>强化计划用水和有偿使用，</w:t>
      </w:r>
      <w:r>
        <w:rPr>
          <w:rFonts w:ascii="仿宋_GB2312" w:eastAsia="仿宋_GB2312" w:hAnsi="仿宋_GB2312" w:cs="仿宋_GB2312" w:hint="eastAsia"/>
          <w:sz w:val="32"/>
          <w:szCs w:val="32"/>
        </w:rPr>
        <w:t>严格执行超计划（定额）累进加价制度，依法征收水资源费，1－12月，我市共征收水资源费</w:t>
      </w:r>
      <w:r>
        <w:rPr>
          <w:rFonts w:ascii="仿宋_GB2312" w:eastAsia="仿宋_GB2312" w:hAnsi="仿宋_GB2312" w:cs="仿宋_GB2312"/>
          <w:sz w:val="32"/>
          <w:szCs w:val="32"/>
        </w:rPr>
        <w:t>8</w:t>
      </w:r>
      <w:r>
        <w:rPr>
          <w:rFonts w:ascii="仿宋_GB2312" w:eastAsia="仿宋_GB2312" w:hAnsi="仿宋_GB2312" w:cs="仿宋_GB2312" w:hint="eastAsia"/>
          <w:sz w:val="32"/>
          <w:szCs w:val="32"/>
        </w:rPr>
        <w:t>774万元。</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河湖生态建设方面。全面强化河湖长制，</w:t>
      </w:r>
      <w:r>
        <w:rPr>
          <w:rFonts w:ascii="仿宋_GB2312" w:eastAsia="仿宋_GB2312" w:hAnsi="仿宋_GB2312" w:cs="仿宋_GB2312" w:hint="eastAsia"/>
          <w:sz w:val="32"/>
          <w:szCs w:val="32"/>
        </w:rPr>
        <w:t>严格落实市、乡、村三级河湖长巡河责任，各级河长共巡河</w:t>
      </w:r>
      <w:r>
        <w:rPr>
          <w:rFonts w:ascii="仿宋_GB2312" w:eastAsia="仿宋_GB2312" w:hAnsi="仿宋_GB2312" w:cs="仿宋_GB2312"/>
          <w:sz w:val="32"/>
          <w:szCs w:val="32"/>
        </w:rPr>
        <w:t>158</w:t>
      </w:r>
      <w:r>
        <w:rPr>
          <w:rFonts w:ascii="仿宋_GB2312" w:eastAsia="仿宋_GB2312" w:hAnsi="仿宋_GB2312" w:cs="仿宋_GB2312" w:hint="eastAsia"/>
          <w:sz w:val="32"/>
          <w:szCs w:val="32"/>
        </w:rPr>
        <w:t>次，发现问题</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件，整改销号</w:t>
      </w:r>
      <w:r>
        <w:rPr>
          <w:rFonts w:ascii="仿宋_GB2312" w:eastAsia="仿宋_GB2312" w:hAnsi="仿宋_GB2312" w:cs="仿宋_GB2312"/>
          <w:sz w:val="32"/>
          <w:szCs w:val="32"/>
        </w:rPr>
        <w:t>35</w:t>
      </w:r>
      <w:r>
        <w:rPr>
          <w:rFonts w:ascii="仿宋_GB2312" w:eastAsia="仿宋_GB2312" w:hAnsi="仿宋_GB2312" w:cs="仿宋_GB2312" w:hint="eastAsia"/>
          <w:sz w:val="32"/>
          <w:szCs w:val="32"/>
        </w:rPr>
        <w:t>件。</w:t>
      </w:r>
      <w:r>
        <w:rPr>
          <w:rFonts w:ascii="仿宋_GB2312" w:eastAsia="仿宋_GB2312" w:hAnsi="仿宋_GB2312" w:cs="仿宋_GB2312" w:hint="eastAsia"/>
          <w:b/>
          <w:bCs/>
          <w:sz w:val="32"/>
          <w:szCs w:val="32"/>
        </w:rPr>
        <w:t>加大水环境治理力度，</w:t>
      </w:r>
      <w:r>
        <w:rPr>
          <w:rFonts w:ascii="仿宋_GB2312" w:eastAsia="仿宋_GB2312" w:hAnsi="仿宋_GB2312" w:cs="仿宋_GB2312" w:hint="eastAsia"/>
          <w:sz w:val="32"/>
          <w:szCs w:val="32"/>
        </w:rPr>
        <w:t>全面完成奎屯河、四棵树河三年整治目标，加强河道巡查管护，发现垃圾堆放、违法取水等问题45处，清理垃圾85吨，保持了河道沿线干净整洁。对河道107个卫星遥感疑似碍洪图斑全覆盖检查并及时清除，确保行洪畅通。</w:t>
      </w:r>
      <w:r>
        <w:rPr>
          <w:rFonts w:ascii="仿宋" w:eastAsia="仿宋" w:hAnsi="仿宋" w:cs="仿宋" w:hint="eastAsia"/>
          <w:b/>
          <w:color w:val="000000"/>
          <w:sz w:val="32"/>
          <w:szCs w:val="32"/>
          <w:shd w:val="clear" w:color="auto" w:fill="FFFFFF"/>
        </w:rPr>
        <w:t>加强水域岸线空间管控。</w:t>
      </w:r>
      <w:r>
        <w:rPr>
          <w:rFonts w:ascii="仿宋_GB2312" w:eastAsia="仿宋_GB2312" w:cs="仿宋_GB2312"/>
          <w:sz w:val="32"/>
          <w:szCs w:val="32"/>
        </w:rPr>
        <w:t>全力推进规模以上河流划界确权工作</w:t>
      </w:r>
      <w:r>
        <w:rPr>
          <w:rFonts w:ascii="仿宋_GB2312" w:eastAsia="仿宋_GB2312" w:cs="仿宋_GB2312" w:hint="eastAsia"/>
          <w:sz w:val="32"/>
          <w:szCs w:val="32"/>
        </w:rPr>
        <w:t>，已</w:t>
      </w:r>
      <w:r>
        <w:rPr>
          <w:rFonts w:ascii="仿宋" w:eastAsia="仿宋" w:hAnsi="仿宋" w:cs="仿宋"/>
          <w:sz w:val="32"/>
          <w:szCs w:val="32"/>
          <w:shd w:val="clear" w:color="auto" w:fill="FFFFFF"/>
        </w:rPr>
        <w:t>完成7条规模以上河流岸线保护与利用规划和9条河流管理范围划定</w:t>
      </w:r>
      <w:r>
        <w:rPr>
          <w:rFonts w:ascii="仿宋_GB2312" w:eastAsia="仿宋_GB2312" w:cs="仿宋_GB2312"/>
          <w:sz w:val="32"/>
          <w:szCs w:val="32"/>
        </w:rPr>
        <w:t>；</w:t>
      </w:r>
      <w:r>
        <w:rPr>
          <w:rFonts w:ascii="仿宋" w:eastAsia="仿宋" w:hAnsi="仿宋" w:cs="仿宋" w:hint="eastAsia"/>
          <w:sz w:val="32"/>
          <w:szCs w:val="32"/>
        </w:rPr>
        <w:t>将重点河湖管理范围划定成果和河湖岸线保护与利用规划相关数据在三区三线划定中落图，逐步调整规范河流河道管理范围；</w:t>
      </w:r>
      <w:r>
        <w:rPr>
          <w:rFonts w:ascii="仿宋_GB2312" w:eastAsia="仿宋_GB2312" w:cs="仿宋_GB2312"/>
          <w:sz w:val="32"/>
          <w:szCs w:val="32"/>
        </w:rPr>
        <w:t>编制完成四棵树河和古尔图河采砂规划</w:t>
      </w:r>
      <w:r>
        <w:rPr>
          <w:rFonts w:ascii="仿宋_GB2312" w:eastAsia="仿宋_GB2312" w:cs="仿宋_GB2312" w:hint="eastAsia"/>
          <w:sz w:val="32"/>
          <w:szCs w:val="32"/>
        </w:rPr>
        <w:t>。</w:t>
      </w:r>
      <w:r>
        <w:rPr>
          <w:rFonts w:ascii="仿宋_GB2312" w:eastAsia="仿宋_GB2312" w:hAnsi="仿宋_GB2312" w:cs="仿宋_GB2312" w:hint="eastAsia"/>
          <w:b/>
          <w:bCs/>
          <w:sz w:val="32"/>
          <w:szCs w:val="32"/>
        </w:rPr>
        <w:t>持续强化水污染防治。</w:t>
      </w:r>
      <w:r>
        <w:rPr>
          <w:rFonts w:ascii="仿宋_GB2312" w:eastAsia="仿宋_GB2312" w:hAnsi="仿宋_GB2312" w:cs="仿宋_GB2312" w:hint="eastAsia"/>
          <w:sz w:val="32"/>
          <w:szCs w:val="32"/>
        </w:rPr>
        <w:t>开展入河排污口清查，建立完整的入河排污口信息台账，坚持入河排污口零审批原则，严禁设立入河排污口。结合乡村振兴战略，加大沿河农村生活污水、垃圾治理力度，持续开展农业面源污染防治，提升污水处理能力，完成乌苏市污水处理厂提标改造。</w:t>
      </w:r>
      <w:r>
        <w:rPr>
          <w:rFonts w:ascii="仿宋_GB2312" w:eastAsia="仿宋_GB2312" w:hAnsi="仿宋_GB2312" w:cs="仿宋_GB2312" w:hint="eastAsia"/>
          <w:b/>
          <w:bCs/>
          <w:sz w:val="32"/>
          <w:szCs w:val="32"/>
        </w:rPr>
        <w:t>持续推进水生态修复。</w:t>
      </w:r>
      <w:r>
        <w:rPr>
          <w:rFonts w:ascii="仿宋_GB2312" w:eastAsia="仿宋_GB2312" w:hAnsi="仿宋_GB2312" w:cs="仿宋_GB2312" w:hint="eastAsia"/>
          <w:sz w:val="32"/>
          <w:szCs w:val="32"/>
        </w:rPr>
        <w:t>建立并执行生态水量下泄调度管理制度，保障生态水量调度，2022年四棵树河下泄生态水量0.8659亿立方，古尔图河下泄生态水量0.42亿立方，协调第七师奎管处保障奎屯河下泄生态水量1.37亿立方。</w:t>
      </w:r>
      <w:r>
        <w:rPr>
          <w:rFonts w:ascii="仿宋_GB2312" w:eastAsia="仿宋_GB2312" w:hAnsi="仿宋_GB2312" w:cs="仿宋_GB2312" w:hint="eastAsia"/>
          <w:b/>
          <w:bCs/>
          <w:sz w:val="32"/>
          <w:szCs w:val="32"/>
        </w:rPr>
        <w:t>构建兵地融合发展理念，合力打造河湖生态治理和保护新格局。</w:t>
      </w:r>
      <w:r>
        <w:rPr>
          <w:rFonts w:ascii="仿宋_GB2312" w:eastAsia="仿宋_GB2312" w:hAnsi="仿宋_GB2312" w:cs="仿宋_GB2312" w:hint="eastAsia"/>
          <w:sz w:val="32"/>
          <w:szCs w:val="32"/>
        </w:rPr>
        <w:t>继2020年11月与兵团第七师按照各自权限共同管理奎屯河河道和水工程后，2022年4月1日，再次共同管理古尔图河，确保流域河道管理依法行政，水工程管护合法有序，用水秩序不断规范。乌苏市河道综合治理保护和生态修复建设成功经验，被地区推荐到自治区参评全国优秀河长和河长制工作先进集体。</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水土保持方面。</w:t>
      </w:r>
      <w:r>
        <w:rPr>
          <w:rFonts w:ascii="仿宋_GB2312" w:eastAsia="仿宋_GB2312" w:hAnsi="仿宋_GB2312" w:cs="仿宋_GB2312" w:hint="eastAsia"/>
          <w:sz w:val="32"/>
          <w:szCs w:val="32"/>
        </w:rPr>
        <w:t>强化监督检查，持续提升水土保持监管力度。开展在建项目落实水土保持方案监督检查 38个，审批许可28个生产建设项目水土保持方案报告书(表），完成2022年水利部水保下达乌苏问题图斑数核查整改工作。1－11月全市征收水土保持补偿费113.77万元。</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（三）坚持系统治理，切实发挥水安全保障作用</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水旱灾害防御方面。</w:t>
      </w:r>
      <w:r>
        <w:rPr>
          <w:rFonts w:ascii="仿宋_GB2312" w:eastAsia="仿宋_GB2312" w:hAnsi="仿宋_GB2312" w:cs="仿宋_GB2312" w:hint="eastAsia"/>
          <w:sz w:val="32"/>
          <w:szCs w:val="32"/>
        </w:rPr>
        <w:t>持续落实防汛抢险，抗旱工作，</w:t>
      </w:r>
      <w:r>
        <w:rPr>
          <w:rFonts w:ascii="仿宋_GB2312" w:eastAsia="仿宋_GB2312" w:hAnsi="仿宋_GB2312" w:cs="仿宋_GB2312" w:hint="eastAsia"/>
          <w:color w:val="000000"/>
          <w:sz w:val="32"/>
          <w:szCs w:val="32"/>
        </w:rPr>
        <w:t>水库、水电站、水闸</w:t>
      </w:r>
      <w:r>
        <w:rPr>
          <w:rFonts w:ascii="仿宋_GB2312" w:eastAsia="仿宋_GB2312" w:hAnsi="仿宋_GB2312" w:cs="仿宋_GB2312" w:hint="eastAsia"/>
          <w:sz w:val="32"/>
          <w:szCs w:val="32"/>
        </w:rPr>
        <w:t>严格落实“三个责任人”职责；</w:t>
      </w:r>
      <w:r>
        <w:rPr>
          <w:rFonts w:ascii="仿宋_GB2312" w:eastAsia="仿宋_GB2312" w:hAnsi="仿宋_GB2312" w:cs="仿宋_GB2312" w:hint="eastAsia"/>
          <w:b/>
          <w:sz w:val="32"/>
          <w:szCs w:val="32"/>
        </w:rPr>
        <w:t>优化防汛抗旱预案，</w:t>
      </w:r>
      <w:r>
        <w:rPr>
          <w:rFonts w:ascii="仿宋_GB2312" w:eastAsia="仿宋_GB2312" w:hAnsi="仿宋_GB2312" w:cs="仿宋_GB2312" w:hint="eastAsia"/>
          <w:sz w:val="32"/>
          <w:szCs w:val="32"/>
        </w:rPr>
        <w:t>修订完善各类应急预案30余份，编报2022年度应急演练计划，</w:t>
      </w:r>
      <w:r>
        <w:rPr>
          <w:rFonts w:ascii="仿宋_GB2312" w:eastAsia="仿宋_GB2312" w:hAnsi="仿宋_GB2312" w:cs="仿宋_GB2312" w:hint="eastAsia"/>
          <w:color w:val="000000"/>
          <w:sz w:val="32"/>
          <w:szCs w:val="32"/>
        </w:rPr>
        <w:t>举办防汛抢险应急演28次</w:t>
      </w:r>
      <w:r>
        <w:rPr>
          <w:rFonts w:ascii="仿宋_GB2312" w:eastAsia="仿宋_GB2312" w:hAnsi="仿宋_GB2312" w:cs="仿宋_GB2312" w:hint="eastAsia"/>
          <w:sz w:val="32"/>
          <w:szCs w:val="32"/>
        </w:rPr>
        <w:t>。</w:t>
      </w:r>
      <w:r>
        <w:rPr>
          <w:rFonts w:ascii="仿宋_GB2312" w:eastAsia="仿宋_GB2312" w:hAnsi="仿宋_GB2312" w:cs="仿宋_GB2312" w:hint="eastAsia"/>
          <w:b/>
          <w:bCs/>
          <w:color w:val="000000"/>
          <w:sz w:val="32"/>
          <w:szCs w:val="32"/>
          <w:lang w:val="zh-CN"/>
        </w:rPr>
        <w:t>常态组织大排查大整治。</w:t>
      </w:r>
      <w:r>
        <w:rPr>
          <w:rFonts w:ascii="仿宋_GB2312" w:eastAsia="仿宋_GB2312" w:hAnsi="仿宋_GB2312" w:cs="仿宋_GB2312" w:hint="eastAsia"/>
          <w:color w:val="000000"/>
          <w:sz w:val="32"/>
          <w:szCs w:val="32"/>
          <w:lang w:val="zh-CN"/>
        </w:rPr>
        <w:t>严守安全生产底线，充分把控重大时间节点和水利重要节点，常态化开展</w:t>
      </w:r>
      <w:r>
        <w:rPr>
          <w:rFonts w:ascii="仿宋_GB2312" w:eastAsia="仿宋_GB2312" w:hAnsi="仿宋_GB2312" w:cs="仿宋_GB2312" w:hint="eastAsia"/>
          <w:sz w:val="32"/>
          <w:szCs w:val="32"/>
        </w:rPr>
        <w:t>水库、水电站、水闸等基础水利设施，水源地、水利工程建设项目、妨碍河道行洪的大排查大整治活动，对水利基础设施开展</w:t>
      </w:r>
      <w:r>
        <w:rPr>
          <w:rFonts w:ascii="仿宋_GB2312" w:eastAsia="仿宋_GB2312" w:hAnsi="仿宋_GB2312" w:cs="仿宋_GB2312" w:hint="eastAsia"/>
          <w:sz w:val="32"/>
          <w:szCs w:val="32"/>
          <w:lang w:val="zh-CN"/>
        </w:rPr>
        <w:t>大排查大整治</w:t>
      </w:r>
      <w:r>
        <w:rPr>
          <w:rFonts w:ascii="仿宋_GB2312" w:eastAsia="仿宋_GB2312" w:hAnsi="仿宋_GB2312" w:cs="仿宋_GB2312" w:hint="eastAsia"/>
          <w:sz w:val="32"/>
          <w:szCs w:val="32"/>
        </w:rPr>
        <w:t>发现各类问题64个，已整改59个，其他5个问题持续整改中；上级检查组反馈问题125个，已整改102个，其他23个问题持续整改中。</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提升农村供水保障能力方面。</w:t>
      </w:r>
      <w:r>
        <w:rPr>
          <w:rFonts w:ascii="仿宋_GB2312" w:eastAsia="仿宋_GB2312" w:hAnsi="仿宋_GB2312" w:cs="仿宋_GB2312" w:hint="eastAsia"/>
          <w:sz w:val="32"/>
          <w:szCs w:val="32"/>
        </w:rPr>
        <w:t>全面落实农村供水管理“三个责任”，确保有名有实有效；办理完成千吨万人农村供水工程备用水源取水许可手续，有效提高农村供水保障应急供水能力；定期对集中式供水工程开展水源水、出厂水和管网末梢水进行水质检测，深入摸排全市农村饮水水表出户、供水水源、村级官网改造时间、供水现状等信息，为推进城乡供水一体化和加快农村供水工程改造提升做好数据支撑。</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保障农业灌溉安全用水方面。</w:t>
      </w:r>
      <w:r>
        <w:rPr>
          <w:rFonts w:ascii="仿宋_GB2312" w:eastAsia="仿宋_GB2312" w:hAnsi="仿宋_GB2312" w:cs="仿宋_GB2312" w:hint="eastAsia"/>
          <w:sz w:val="32"/>
          <w:szCs w:val="32"/>
        </w:rPr>
        <w:t>充分发挥部门监督管理职能，提升水资源利用效率，保障我市农业灌溉顺利进行。2022年，全市地表水农业灌溉面积109.5万亩，地表水总用水量3.8531 亿立方米，其中：河水直供 2.8861亿立方米，水库供水0.967 亿立方米；收取农业灌溉水费8500万元。</w:t>
      </w:r>
    </w:p>
    <w:p>
      <w:pPr>
        <w:pBdr>
          <w:bottom w:val="single" w:sz="4" w:space="30" w:color="FFFFFF"/>
        </w:pBdr>
        <w:spacing w:line="520" w:lineRule="exact"/>
        <w:ind w:firstLine="640" w:firstLineChars="200"/>
        <w:rPr>
          <w:rFonts w:ascii="楷体_GB2312" w:eastAsia="楷体_GB2312" w:hAnsi="楷体_GB2312" w:cs="楷体_GB2312"/>
          <w:b/>
          <w:bCs/>
          <w:sz w:val="32"/>
          <w:szCs w:val="32"/>
        </w:rPr>
      </w:pPr>
      <w:r>
        <w:rPr>
          <w:rFonts w:ascii="楷体_GB2312" w:eastAsia="楷体_GB2312" w:hAnsi="楷体_GB2312" w:cs="楷体_GB2312" w:hint="eastAsia"/>
          <w:b/>
          <w:bCs/>
          <w:sz w:val="32"/>
          <w:szCs w:val="32"/>
        </w:rPr>
        <w:t>（四）依法治水、依法管水，全面发挥水行政执法监督的保驾护航作用。</w:t>
      </w:r>
    </w:p>
    <w:p>
      <w:pPr>
        <w:pBdr>
          <w:bottom w:val="single" w:sz="4" w:space="30" w:color="FFFFFF"/>
        </w:pBdr>
        <w:spacing w:line="520" w:lineRule="exact"/>
        <w:ind w:firstLine="640" w:firstLineChars="200"/>
        <w:rPr>
          <w:rFonts w:ascii="仿宋_GB2312" w:eastAsia="仿宋_GB2312" w:hAnsi="仿宋_GB2312" w:cs="仿宋_GB2312"/>
          <w:sz w:val="32"/>
          <w:szCs w:val="32"/>
        </w:rPr>
      </w:pPr>
      <w:r>
        <w:rPr>
          <w:rFonts w:ascii="仿宋_GB2312" w:eastAsia="仿宋_GB2312" w:hAnsi="仿宋_GB2312" w:cs="仿宋_GB2312" w:hint="eastAsia"/>
          <w:b/>
          <w:bCs/>
          <w:sz w:val="32"/>
          <w:szCs w:val="32"/>
        </w:rPr>
        <w:t>健全完善水利依法行政工作机制。</w:t>
      </w:r>
      <w:r>
        <w:rPr>
          <w:rFonts w:ascii="仿宋_GB2312" w:eastAsia="仿宋_GB2312" w:hAnsi="仿宋_GB2312" w:cs="仿宋_GB2312" w:hint="eastAsia"/>
          <w:bCs/>
          <w:sz w:val="32"/>
          <w:szCs w:val="32"/>
        </w:rPr>
        <w:t>建立主要领导总负责,分管领导牵头负责，业务处室具体负责的行政执法工作机制，明确党组书记为推进法治政府建设第一责任人，定期召开专题会议安排部署法治水利建设工作；</w:t>
      </w:r>
      <w:r>
        <w:rPr>
          <w:rFonts w:ascii="仿宋_GB2312" w:eastAsia="仿宋_GB2312" w:hAnsi="仿宋_GB2312" w:cs="仿宋_GB2312" w:hint="eastAsia"/>
          <w:sz w:val="32"/>
          <w:szCs w:val="32"/>
        </w:rPr>
        <w:t>注重党组班子学法用法，强化执法人员能力提升，加强执法人员队伍建设，目前，持有水行政执法证人员28名，参加各类培训6次。</w:t>
      </w:r>
    </w:p>
    <w:p>
      <w:pPr>
        <w:pBdr>
          <w:bottom w:val="single" w:sz="4" w:space="30" w:color="FFFFFF"/>
        </w:pBdr>
        <w:spacing w:line="520" w:lineRule="exact"/>
        <w:ind w:firstLine="640" w:firstLineChars="200"/>
        <w:rPr>
          <w:rFonts w:ascii="仿宋" w:eastAsia="仿宋" w:hAnsi="仿宋" w:cs="仿宋"/>
          <w:sz w:val="32"/>
          <w:szCs w:val="32"/>
        </w:rPr>
      </w:pPr>
      <w:r>
        <w:rPr>
          <w:rFonts w:ascii="仿宋" w:eastAsia="仿宋" w:hAnsi="仿宋" w:cs="仿宋" w:hint="eastAsia"/>
          <w:b/>
          <w:bCs/>
          <w:sz w:val="32"/>
          <w:szCs w:val="32"/>
        </w:rPr>
        <w:t>不断深化行政效能和政务服务能力建设。</w:t>
      </w:r>
      <w:r>
        <w:rPr>
          <w:rFonts w:ascii="仿宋" w:eastAsia="仿宋" w:hAnsi="仿宋" w:cs="仿宋" w:hint="eastAsia"/>
          <w:sz w:val="32"/>
          <w:szCs w:val="32"/>
        </w:rPr>
        <w:t>进一步规范梳理水利部门行政权力和公共服务事项，主动认领行政职能权责清单96项，凡是涉及行政许可、工程审批制度改革、事关企业和群众利益的事项均全部进驻行政审批大厅窗口公开办理；进一步理顺市、乡、村治理体系，推动水利治理重心下移、资源下沉；积极主动做好各类行政审批和政务服务事项，着力优化营商环境。一年来，全面梳理规范水利行政许可事项和工程审批事项办理流程，为办事群众提供一次性告知单、申报材料范本13项、52份，维护新疆政务一体化平台、塔城地区工改系统和12345热线知识库平台事项32次，通过水利服务窗口累计受理取水许可、水土保持、水利工程建设和涉河事务等各类事项248件，其中：按时</w:t>
      </w:r>
      <w:r>
        <w:rPr>
          <w:rFonts w:ascii="仿宋_GB2312" w:eastAsia="仿宋_GB2312" w:hint="eastAsia"/>
          <w:sz w:val="32"/>
          <w:szCs w:val="32"/>
        </w:rPr>
        <w:t>办结行政审批事项108件</w:t>
      </w:r>
      <w:r>
        <w:rPr>
          <w:rFonts w:ascii="仿宋" w:eastAsia="仿宋" w:hAnsi="仿宋" w:cs="仿宋" w:hint="eastAsia"/>
          <w:sz w:val="32"/>
          <w:szCs w:val="32"/>
        </w:rPr>
        <w:t>，解决“12345”政务服务热线反映问题16件，满意率100%，解答群众窗口</w:t>
      </w:r>
      <w:r>
        <w:rPr>
          <w:rFonts w:ascii="仿宋_GB2312" w:eastAsia="仿宋_GB2312" w:hint="eastAsia"/>
          <w:sz w:val="32"/>
          <w:szCs w:val="32"/>
        </w:rPr>
        <w:t>咨询业务124件。</w:t>
      </w:r>
    </w:p>
    <w:p>
      <w:pPr>
        <w:pBdr>
          <w:bottom w:val="single" w:sz="4" w:space="30" w:color="FFFFFF"/>
        </w:pBdr>
        <w:spacing w:line="520" w:lineRule="exact"/>
        <w:ind w:firstLine="640" w:firstLineChars="200"/>
      </w:pPr>
      <w:r>
        <w:rPr>
          <w:rFonts w:ascii="仿宋_GB2312" w:eastAsia="仿宋_GB2312" w:hAnsi="仿宋_GB2312" w:cs="仿宋_GB2312" w:hint="eastAsia"/>
          <w:b/>
          <w:bCs/>
          <w:sz w:val="32"/>
          <w:szCs w:val="32"/>
        </w:rPr>
        <w:t>持续落实水行政执法监督。</w:t>
      </w:r>
      <w:r>
        <w:rPr>
          <w:rFonts w:ascii="仿宋_GB2312" w:eastAsia="仿宋_GB2312" w:hAnsi="仿宋_GB2312" w:cs="仿宋_GB2312" w:hint="eastAsia"/>
          <w:sz w:val="32"/>
          <w:szCs w:val="32"/>
        </w:rPr>
        <w:t>加大水事违法行为的查处，严厉打击各类水事违法行为。出动执法人员146人次，巡查乡镇15个，检查河道3条，累计巡查排查河道长度145公里。通过巡查、督查、检查、举报等各类途径，立案查处各类违法案件</w:t>
      </w:r>
      <w:r>
        <w:rPr>
          <w:rFonts w:ascii="仿宋_GB2312" w:eastAsia="仿宋_GB2312" w:hAnsi="仿宋_GB2312" w:cs="仿宋_GB2312"/>
          <w:sz w:val="32"/>
          <w:szCs w:val="32"/>
        </w:rPr>
        <w:t>87</w:t>
      </w:r>
      <w:r>
        <w:rPr>
          <w:rFonts w:ascii="仿宋_GB2312" w:eastAsia="仿宋_GB2312" w:hAnsi="仿宋_GB2312" w:cs="仿宋_GB2312" w:hint="eastAsia"/>
          <w:sz w:val="32"/>
          <w:szCs w:val="32"/>
        </w:rPr>
        <w:t>件，罚款</w:t>
      </w:r>
      <w:r>
        <w:rPr>
          <w:rFonts w:ascii="仿宋_GB2312" w:eastAsia="仿宋_GB2312" w:hAnsi="仿宋_GB2312" w:cs="仿宋_GB2312"/>
          <w:sz w:val="32"/>
          <w:szCs w:val="32"/>
        </w:rPr>
        <w:t>287</w:t>
      </w:r>
      <w:r>
        <w:rPr>
          <w:rFonts w:ascii="仿宋_GB2312" w:eastAsia="仿宋_GB2312" w:hAnsi="仿宋_GB2312" w:cs="仿宋_GB2312" w:hint="eastAsia"/>
          <w:sz w:val="32"/>
          <w:szCs w:val="32"/>
        </w:rPr>
        <w:t>万元，追缴水资源费23400元。</w:t>
      </w:r>
      <w:r>
        <w:rPr>
          <w:rFonts w:ascii="仿宋" w:eastAsia="仿宋" w:hAnsi="仿宋" w:cs="仿宋" w:hint="eastAsia"/>
          <w:sz w:val="32"/>
          <w:szCs w:val="32"/>
        </w:rPr>
        <w:t>联合检察院共同协同推进河长制工作，对涉及奎屯河、古尔图河的2个乡镇出具检查建议书，督促涉河四乱问题的及时整改，切实维护良好水事秩序。</w:t>
      </w:r>
    </w:p>
    <w:p>
      <w:pPr>
        <w:pBdr>
          <w:bottom w:val="single" w:sz="4" w:space="30" w:color="FFFFFF"/>
        </w:pBdr>
        <w:spacing w:line="520" w:lineRule="exact"/>
        <w:ind w:firstLine="640" w:firstLineChars="200"/>
        <w:rPr>
          <w:rFonts w:ascii="楷体" w:eastAsia="楷体" w:hAnsi="楷体" w:cs="楷体"/>
          <w:b/>
          <w:bCs/>
          <w:sz w:val="32"/>
          <w:szCs w:val="32"/>
        </w:rPr>
      </w:pPr>
      <w:r>
        <w:rPr>
          <w:rFonts w:ascii="楷体" w:eastAsia="楷体" w:hAnsi="楷体" w:cs="楷体" w:hint="eastAsia"/>
          <w:b/>
          <w:bCs/>
          <w:sz w:val="32"/>
          <w:szCs w:val="32"/>
        </w:rPr>
        <w:t>（五）发挥党建引领作用，保障各项工作落地见效</w:t>
      </w:r>
    </w:p>
    <w:p>
      <w:pPr>
        <w:pBdr>
          <w:bottom w:val="single" w:sz="4" w:space="30" w:color="FFFFFF"/>
        </w:pBdr>
        <w:spacing w:line="520" w:lineRule="exact"/>
        <w:ind w:firstLine="640" w:firstLineChars="200"/>
        <w:rPr>
          <w:rFonts w:ascii="仿宋_GB2312" w:eastAsia="仿宋_GB2312" w:hAnsi="仿宋_GB2312" w:cs="仿宋_GB2312"/>
          <w:sz w:val="32"/>
          <w:szCs w:val="32"/>
          <w:shd w:val="clear" w:color="auto" w:fill="FFFFFF"/>
        </w:rPr>
      </w:pPr>
      <w:r>
        <w:rPr>
          <w:rFonts w:ascii="仿宋_GB2312" w:eastAsia="仿宋_GB2312" w:hAnsi="仿宋_GB2312" w:cs="仿宋_GB2312" w:hint="eastAsia"/>
          <w:b/>
          <w:bCs/>
          <w:sz w:val="32"/>
          <w:szCs w:val="32"/>
        </w:rPr>
        <w:t>围绕新时代党的建设总要求，持续深入推进全面从严治党取得新成效。围绕“两个维护”加强政治建设</w:t>
      </w:r>
      <w:r>
        <w:rPr>
          <w:rFonts w:ascii="仿宋_GB2312" w:eastAsia="仿宋_GB2312" w:hAnsi="仿宋_GB2312" w:cs="仿宋_GB2312" w:hint="eastAsia"/>
          <w:sz w:val="32"/>
          <w:szCs w:val="32"/>
        </w:rPr>
        <w:t>，将党中央和习近平</w:t>
      </w:r>
      <w:r>
        <w:rPr>
          <w:rFonts w:ascii="仿宋_GB2312" w:eastAsia="仿宋_GB2312" w:hAnsi="仿宋_GB2312" w:cs="仿宋_GB2312" w:hint="eastAsia"/>
          <w:sz w:val="32"/>
          <w:szCs w:val="32"/>
          <w:lang w:val="en-US" w:eastAsia="zh-CN"/>
        </w:rPr>
        <w:t>总</w:t>
      </w:r>
      <w:r>
        <w:rPr>
          <w:rFonts w:ascii="仿宋_GB2312" w:eastAsia="仿宋_GB2312" w:hAnsi="仿宋_GB2312" w:cs="仿宋_GB2312" w:hint="eastAsia"/>
          <w:sz w:val="32"/>
          <w:szCs w:val="32"/>
        </w:rPr>
        <w:t>书记的声音做为理论学习的主要内容，坚持学原文、读原著、悟原理，把融会贯通做为学习目标。</w:t>
      </w:r>
      <w:r>
        <w:rPr>
          <w:rFonts w:ascii="仿宋_GB2312" w:eastAsia="仿宋_GB2312" w:hAnsi="仿宋_GB2312" w:cs="仿宋_GB2312" w:hint="eastAsia"/>
          <w:b/>
          <w:bCs/>
          <w:sz w:val="32"/>
          <w:szCs w:val="32"/>
        </w:rPr>
        <w:t>对标固本强基加强组织建设。</w:t>
      </w:r>
      <w:r>
        <w:rPr>
          <w:rFonts w:ascii="仿宋_GB2312" w:eastAsia="仿宋_GB2312" w:hAnsi="仿宋_GB2312" w:cs="仿宋_GB2312" w:hint="eastAsia"/>
          <w:sz w:val="32"/>
          <w:szCs w:val="32"/>
        </w:rPr>
        <w:t>充分发挥基层党支部战斗堡垒作用。督促党支部按时保质保量开展“三会一课”，班子成员做为普通党员参加所在党支部活动，不断完善并落实民主集中制，认真组织召开民主生活会和组织生活会。不折不扣落实“三重一大”“四个不直接分管”、一把手“末位表态”和票决等制度，确保民主集中制落实见效。</w:t>
      </w:r>
      <w:r>
        <w:rPr>
          <w:rFonts w:ascii="仿宋_GB2312" w:eastAsia="仿宋_GB2312" w:hAnsi="仿宋_GB2312" w:cs="仿宋_GB2312" w:hint="eastAsia"/>
          <w:b/>
          <w:bCs/>
          <w:sz w:val="32"/>
          <w:szCs w:val="32"/>
        </w:rPr>
        <w:t>立足防微杜渐加强纪律建设。</w:t>
      </w:r>
      <w:r>
        <w:rPr>
          <w:rFonts w:ascii="仿宋_GB2312" w:eastAsia="仿宋_GB2312" w:hAnsi="仿宋_GB2312" w:cs="仿宋_GB2312" w:hint="eastAsia"/>
          <w:sz w:val="32"/>
          <w:szCs w:val="32"/>
        </w:rPr>
        <w:t>强化组织领导，凡涉及“三重一大”事项坚持集体讨论研究和决定，主动接</w:t>
      </w:r>
      <w:r>
        <w:rPr>
          <w:rFonts w:ascii="仿宋_GB2312" w:eastAsia="仿宋_GB2312" w:hAnsi="仿宋_GB2312" w:cs="仿宋_GB2312" w:hint="eastAsia"/>
          <w:bCs/>
          <w:sz w:val="32"/>
          <w:szCs w:val="32"/>
        </w:rPr>
        <w:t>受纪委监督。</w:t>
      </w:r>
    </w:p>
    <w:p>
      <w:pPr>
        <w:pBdr>
          <w:bottom w:val="single" w:sz="4" w:space="30" w:color="FFFFFF"/>
        </w:pBdr>
        <w:spacing w:line="520" w:lineRule="exact"/>
        <w:ind w:firstLine="640" w:firstLineChars="200"/>
        <w:rPr>
          <w:rStyle w:val="Strong"/>
          <w:rFonts w:eastAsia="仿宋_GB2312" w:hint="eastAsia"/>
          <w:b w:val="0"/>
          <w:bCs w:val="0"/>
        </w:rPr>
      </w:pPr>
      <w:r>
        <w:rPr>
          <w:rFonts w:ascii="仿宋" w:eastAsia="仿宋" w:hAnsi="仿宋" w:hint="eastAsia"/>
          <w:b/>
          <w:bCs/>
          <w:sz w:val="32"/>
          <w:szCs w:val="32"/>
        </w:rPr>
        <w:t>全力以赴做好疫情防控工作。</w:t>
      </w:r>
      <w:r>
        <w:rPr>
          <w:rFonts w:ascii="仿宋" w:eastAsia="仿宋" w:hAnsi="仿宋" w:hint="eastAsia"/>
          <w:sz w:val="32"/>
          <w:szCs w:val="32"/>
        </w:rPr>
        <w:t>今年疫情发生以来，</w:t>
      </w:r>
      <w:r>
        <w:rPr>
          <w:rFonts w:ascii="仿宋" w:eastAsia="仿宋" w:hAnsi="仿宋" w:cs="仿宋" w:hint="eastAsia"/>
          <w:color w:val="000000"/>
          <w:kern w:val="0"/>
          <w:sz w:val="32"/>
          <w:szCs w:val="32"/>
        </w:rPr>
        <w:t>水利局党组积极响应市委号召，动员全体干部职工投入到疫情防控的战斗中，</w:t>
      </w:r>
      <w:r>
        <w:rPr>
          <w:rFonts w:ascii="仿宋" w:eastAsia="仿宋" w:hAnsi="仿宋" w:hint="eastAsia"/>
          <w:sz w:val="32"/>
          <w:szCs w:val="32"/>
        </w:rPr>
        <w:t>一是统一思想，服从大局，</w:t>
      </w:r>
      <w:r>
        <w:rPr>
          <w:rFonts w:ascii="仿宋" w:eastAsia="仿宋" w:hAnsi="仿宋" w:cs="仿宋" w:hint="eastAsia"/>
          <w:color w:val="000000"/>
          <w:kern w:val="0"/>
          <w:sz w:val="32"/>
          <w:szCs w:val="32"/>
        </w:rPr>
        <w:t>局党组成员坚持以身作则带头奔赴一线，广大水利干部职工挺身而出，主动出战，</w:t>
      </w:r>
      <w:r>
        <w:rPr>
          <w:rFonts w:ascii="仿宋" w:eastAsia="仿宋" w:hAnsi="仿宋" w:hint="eastAsia"/>
          <w:sz w:val="32"/>
          <w:szCs w:val="32"/>
        </w:rPr>
        <w:t>先后抽调125名干部职工到防疫一线全力做好疫情防控工作。二是加强水利工程建设工地项目管理，按照乌苏市疫情防控实际工作要求，制定并落实一工地一策方案，结合积极配合当地政府、居住村队及疫情防控单位相关工作，严格落实各项疫情管控举措。其中：古尔图镇农业七队至农业四队中小河流治理工地和吉尔格勒德水利枢纽工程项目施工现场均实行封闭管理，工地疫情防控总体形势良好，均为无疫工地。三是认真做好疫情期间各项水利管理工作，确保全市城乡居民用水安全和经济社会发展水安全保障。</w:t>
      </w:r>
    </w:p>
    <w:p>
      <w:pPr>
        <w:pBdr>
          <w:bottom w:val="single" w:sz="4" w:space="30" w:color="FFFFFF"/>
        </w:pBdr>
        <w:spacing w:line="520" w:lineRule="exact"/>
        <w:rPr>
          <w:rStyle w:val="Strong"/>
          <w:rFonts w:ascii="楷体_GB2312" w:eastAsia="楷体_GB2312" w:hAnsi="仿宋_GB2312" w:cs="仿宋_GB2312" w:hint="eastAsia"/>
          <w:bCs w:val="0"/>
          <w:color w:val="333333"/>
          <w:sz w:val="32"/>
          <w:szCs w:val="32"/>
        </w:rPr>
      </w:pPr>
      <w:r>
        <w:rPr>
          <w:rStyle w:val="Strong"/>
          <w:rFonts w:ascii="楷体_GB2312" w:eastAsia="楷体_GB2312" w:hAnsi="仿宋_GB2312" w:cs="仿宋_GB2312" w:hint="eastAsia"/>
          <w:bCs w:val="0"/>
          <w:color w:val="333333"/>
          <w:sz w:val="32"/>
          <w:szCs w:val="32"/>
        </w:rPr>
        <w:t>（二）决策过程</w:t>
      </w:r>
    </w:p>
    <w:p>
      <w:pPr>
        <w:pBdr>
          <w:bottom w:val="single" w:sz="4" w:space="30" w:color="FFFFFF"/>
        </w:pBdr>
        <w:spacing w:line="520" w:lineRule="exact"/>
        <w:ind w:firstLine="640" w:firstLineChars="200"/>
        <w:rPr>
          <w:rStyle w:val="Strong"/>
          <w:rFonts w:ascii="仿宋_GB2312" w:eastAsia="仿宋_GB2312" w:hAnsi="仿宋_GB2312" w:cs="仿宋_GB2312" w:hint="eastAsia"/>
          <w:b w:val="0"/>
          <w:color w:val="auto"/>
          <w:sz w:val="32"/>
          <w:szCs w:val="32"/>
        </w:rPr>
      </w:pPr>
      <w:r>
        <w:rPr>
          <w:rStyle w:val="Strong"/>
          <w:rFonts w:ascii="仿宋_GB2312" w:eastAsia="仿宋_GB2312" w:hAnsi="仿宋_GB2312" w:cs="仿宋_GB2312" w:hint="eastAsia"/>
          <w:b w:val="0"/>
          <w:color w:val="auto"/>
          <w:sz w:val="32"/>
          <w:szCs w:val="32"/>
        </w:rPr>
        <w:t>部门项目立项依据充分，符合相关法规政策及部门职责，符合行业发展和政策要求，与部门职责范围相符，属于部门履职所需。符合中央、地方事务支出责任划分原则。</w:t>
      </w:r>
    </w:p>
    <w:p>
      <w:pPr>
        <w:pBdr>
          <w:bottom w:val="single" w:sz="4" w:space="30" w:color="FFFFFF"/>
        </w:pBdr>
        <w:spacing w:line="520" w:lineRule="exact"/>
        <w:ind w:firstLine="640" w:firstLineChars="200"/>
        <w:rPr>
          <w:rStyle w:val="Strong"/>
          <w:rFonts w:ascii="仿宋_GB2312" w:eastAsia="仿宋_GB2312" w:hAnsi="仿宋_GB2312" w:cs="仿宋_GB2312" w:hint="eastAsia"/>
          <w:b w:val="0"/>
          <w:color w:val="auto"/>
          <w:sz w:val="32"/>
          <w:szCs w:val="32"/>
        </w:rPr>
      </w:pPr>
      <w:r>
        <w:rPr>
          <w:rStyle w:val="Strong"/>
          <w:rFonts w:ascii="仿宋_GB2312" w:eastAsia="仿宋_GB2312" w:hAnsi="仿宋_GB2312" w:cs="仿宋_GB2312" w:hint="eastAsia"/>
          <w:b w:val="0"/>
          <w:color w:val="auto"/>
          <w:sz w:val="32"/>
          <w:szCs w:val="32"/>
        </w:rPr>
        <w:t>部门项目立项程序规范，项目严格按照规定的程序申请设立；审批文件、材料符合相关要求；项目前期已经过必要的可行性研究、专家论证、风险评估、绩效评估、集体决策。</w:t>
      </w:r>
      <w:r>
        <w:rPr>
          <w:rStyle w:val="Strong"/>
          <w:rFonts w:ascii="仿宋_GB2312" w:eastAsia="仿宋_GB2312" w:hAnsi="仿宋_GB2312" w:cs="仿宋_GB2312" w:hint="eastAsia"/>
          <w:b w:val="0"/>
          <w:color w:val="auto"/>
          <w:sz w:val="32"/>
          <w:szCs w:val="32"/>
          <w:lang w:val="en-US" w:eastAsia="zh-CN"/>
        </w:rPr>
        <w:t xml:space="preserve">    </w:t>
      </w:r>
      <w:r>
        <w:rPr>
          <w:rStyle w:val="Strong"/>
          <w:rFonts w:ascii="仿宋_GB2312" w:eastAsia="仿宋_GB2312" w:hAnsi="仿宋_GB2312" w:cs="仿宋_GB2312" w:hint="eastAsia"/>
          <w:b w:val="0"/>
          <w:color w:val="auto"/>
          <w:sz w:val="32"/>
          <w:szCs w:val="32"/>
        </w:rPr>
        <w:t>部门整体绩效目标设置合理，根据相关文件要求设置了整体绩效目标，整体项目绩效目标基本合理，与实际工作内容相关；预期产出效益和效果符合正常的业绩水平；与预算确定的项目投资额或资金量相匹配。部门整体绩效指标明确，已将整体项目绩效目标细化分解为具体的绩效指标；可以通过清晰、可衡量的指标值予以体现；与整体项目目标任务数或计划数相对应。预算编制科学，整体项目在资金投入方面，预算编制经过科学论证、有明确标准，资金额度与年度目标相适应，用以反映和考核项目预算编制的科学性、合理性情况。资金分配合理，整体项目预算资金分配有测算依据，资金分配额度合理，与部门单位的实际情况相适应。</w:t>
      </w:r>
    </w:p>
    <w:p>
      <w:pPr>
        <w:pBdr>
          <w:bottom w:val="single" w:sz="4" w:space="30" w:color="FFFFFF"/>
        </w:pBdr>
        <w:spacing w:line="520" w:lineRule="exact"/>
        <w:ind w:firstLine="640" w:firstLineChars="200"/>
        <w:rPr>
          <w:rStyle w:val="Strong"/>
          <w:rFonts w:ascii="楷体_GB2312" w:eastAsia="楷体_GB2312" w:hAnsi="仿宋_GB2312" w:cs="仿宋_GB2312"/>
          <w:bCs w:val="0"/>
          <w:color w:val="auto"/>
          <w:sz w:val="32"/>
          <w:szCs w:val="32"/>
        </w:rPr>
      </w:pPr>
      <w:r>
        <w:rPr>
          <w:rStyle w:val="Strong"/>
          <w:rFonts w:ascii="仿宋_GB2312" w:eastAsia="仿宋_GB2312" w:hAnsi="仿宋_GB2312" w:cs="仿宋_GB2312" w:hint="eastAsia"/>
          <w:b w:val="0"/>
          <w:color w:val="auto"/>
          <w:sz w:val="32"/>
          <w:szCs w:val="32"/>
        </w:rPr>
        <w:t>综上，我单位本年各项工作能够做到部门项目立项依据充分，部门项目立项程序规范，绩效目标设置合理，预算编制科学有效，资金分配合理。决策过程科学规范、实施有效。</w:t>
      </w:r>
      <w:r>
        <w:rPr>
          <w:rStyle w:val="Strong"/>
          <w:rFonts w:ascii="楷体_GB2312" w:eastAsia="楷体_GB2312" w:hAnsi="仿宋_GB2312" w:cs="仿宋_GB2312" w:hint="eastAsia"/>
          <w:bCs w:val="0"/>
          <w:color w:val="auto"/>
          <w:sz w:val="32"/>
          <w:szCs w:val="32"/>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2.分配结果</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重点支出保障率用以反映和考核部门（单位）对履行主要职责或完成重点任务的保障程度。我单位本年主要实施</w:t>
      </w:r>
      <w:r>
        <w:rPr>
          <w:color w:val="auto"/>
        </w:rPr>
        <w:br/>
      </w:r>
      <w:r>
        <w:rPr>
          <w:rStyle w:val="Strong"/>
          <w:rFonts w:ascii="仿宋_GB2312" w:eastAsia="仿宋_GB2312" w:hAnsi="仿宋_GB2312" w:cs="仿宋_GB2312" w:hint="eastAsia"/>
          <w:b w:val="0"/>
          <w:color w:val="auto"/>
          <w:sz w:val="32"/>
          <w:szCs w:val="32"/>
        </w:rPr>
        <w:t>2022年水利局zw类项目重点项目，履行了按期支付贷款本金和利息等主要职责。</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本年度预算安排的重点项目支出4321.57万元，项目总支出4321.57万元，重点支出保障率为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（1）年初预算执行情况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我单位年初预算数为</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万元，实际预算执行数</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万元，年初预算执行率为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全年预算数为</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万元，全年实际支出资金</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万元，全年预算执行率为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我单位年初批复预算数</w:t>
      </w:r>
      <w:r>
        <w:rPr>
          <w:rStyle w:val="Strong"/>
          <w:rFonts w:ascii="仿宋_GB2312" w:eastAsia="仿宋_GB2312" w:hAnsi="仿宋_GB2312" w:cs="仿宋_GB2312" w:hint="eastAsia"/>
          <w:b w:val="0"/>
          <w:color w:val="auto"/>
          <w:sz w:val="32"/>
          <w:szCs w:val="32"/>
          <w:lang w:val="en-US" w:eastAsia="zh-CN"/>
        </w:rPr>
        <w:t>6065.62</w:t>
      </w:r>
      <w:r>
        <w:rPr>
          <w:rStyle w:val="Strong"/>
          <w:rFonts w:ascii="仿宋_GB2312" w:eastAsia="仿宋_GB2312" w:hAnsi="仿宋_GB2312" w:cs="仿宋_GB2312" w:hint="eastAsia"/>
          <w:b w:val="0"/>
          <w:color w:val="auto"/>
          <w:sz w:val="32"/>
          <w:szCs w:val="32"/>
        </w:rPr>
        <w:t>万元，年中调整数</w:t>
      </w:r>
      <w:r>
        <w:rPr>
          <w:rStyle w:val="Strong"/>
          <w:rFonts w:ascii="仿宋_GB2312" w:eastAsia="仿宋_GB2312" w:hAnsi="仿宋_GB2312" w:cs="仿宋_GB2312" w:hint="eastAsia"/>
          <w:b w:val="0"/>
          <w:color w:val="auto"/>
          <w:sz w:val="32"/>
          <w:szCs w:val="32"/>
          <w:lang w:val="en-US" w:eastAsia="zh-CN"/>
        </w:rPr>
        <w:t>919.97</w:t>
      </w:r>
      <w:r>
        <w:rPr>
          <w:rStyle w:val="Strong"/>
          <w:rFonts w:ascii="仿宋_GB2312" w:eastAsia="仿宋_GB2312" w:hAnsi="仿宋_GB2312" w:cs="仿宋_GB2312" w:hint="eastAsia"/>
          <w:b w:val="0"/>
          <w:color w:val="auto"/>
          <w:sz w:val="32"/>
          <w:szCs w:val="32"/>
        </w:rPr>
        <w:t>万元，调整后全年预算数</w:t>
      </w:r>
      <w:r>
        <w:rPr>
          <w:rStyle w:val="Strong"/>
          <w:rFonts w:ascii="仿宋_GB2312" w:eastAsia="仿宋_GB2312" w:hAnsi="仿宋_GB2312" w:cs="仿宋_GB2312" w:hint="eastAsia"/>
          <w:b w:val="0"/>
          <w:color w:val="auto"/>
          <w:sz w:val="32"/>
          <w:szCs w:val="32"/>
          <w:lang w:val="en-US" w:eastAsia="zh-CN"/>
        </w:rPr>
        <w:t>6985.59</w:t>
      </w:r>
      <w:r>
        <w:rPr>
          <w:rStyle w:val="Strong"/>
          <w:rFonts w:ascii="仿宋_GB2312" w:eastAsia="仿宋_GB2312" w:hAnsi="仿宋_GB2312" w:cs="仿宋_GB2312" w:hint="eastAsia"/>
          <w:b w:val="0"/>
          <w:color w:val="auto"/>
          <w:sz w:val="32"/>
          <w:szCs w:val="32"/>
        </w:rPr>
        <w:t>万元，预算调整率</w:t>
      </w:r>
      <w:r>
        <w:rPr>
          <w:rStyle w:val="Strong"/>
          <w:rFonts w:ascii="仿宋_GB2312" w:eastAsia="仿宋_GB2312" w:hAnsi="仿宋_GB2312" w:cs="仿宋_GB2312" w:hint="eastAsia"/>
          <w:b w:val="0"/>
          <w:color w:val="auto"/>
          <w:sz w:val="32"/>
          <w:szCs w:val="32"/>
          <w:lang w:val="en-US" w:eastAsia="zh-CN"/>
        </w:rPr>
        <w:t>15.17</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年初政府采购预算数为</w:t>
      </w:r>
      <w:r>
        <w:rPr>
          <w:rStyle w:val="Strong"/>
          <w:rFonts w:ascii="仿宋_GB2312" w:eastAsia="仿宋_GB2312" w:hAnsi="仿宋_GB2312" w:cs="仿宋_GB2312" w:hint="eastAsia"/>
          <w:b w:val="0"/>
          <w:color w:val="auto"/>
          <w:sz w:val="32"/>
          <w:szCs w:val="32"/>
          <w:lang w:val="en-US" w:eastAsia="zh-CN"/>
        </w:rPr>
        <w:t>81.333</w:t>
      </w:r>
      <w:r>
        <w:rPr>
          <w:rStyle w:val="Strong"/>
          <w:rFonts w:ascii="仿宋_GB2312" w:eastAsia="仿宋_GB2312" w:hAnsi="仿宋_GB2312" w:cs="仿宋_GB2312" w:hint="eastAsia"/>
          <w:b w:val="0"/>
          <w:color w:val="auto"/>
          <w:sz w:val="32"/>
          <w:szCs w:val="32"/>
        </w:rPr>
        <w:t>万元，实际政府采购数为</w:t>
      </w:r>
      <w:r>
        <w:rPr>
          <w:rStyle w:val="Strong"/>
          <w:rFonts w:ascii="仿宋_GB2312" w:eastAsia="仿宋_GB2312" w:hAnsi="仿宋_GB2312" w:cs="仿宋_GB2312" w:hint="eastAsia"/>
          <w:b w:val="0"/>
          <w:color w:val="auto"/>
          <w:sz w:val="32"/>
          <w:szCs w:val="32"/>
          <w:lang w:val="en-US" w:eastAsia="zh-CN"/>
        </w:rPr>
        <w:t>81.333</w:t>
      </w:r>
      <w:r>
        <w:rPr>
          <w:rStyle w:val="Strong"/>
          <w:rFonts w:ascii="仿宋_GB2312" w:eastAsia="仿宋_GB2312" w:hAnsi="仿宋_GB2312" w:cs="仿宋_GB2312" w:hint="eastAsia"/>
          <w:b w:val="0"/>
          <w:color w:val="auto"/>
          <w:sz w:val="32"/>
          <w:szCs w:val="32"/>
        </w:rPr>
        <w:t>万元，年初政府采购执行率为</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bookmarkStart w:id="4" w:name="_Hlk49856735"/>
      <w:r>
        <w:rPr>
          <w:rStyle w:val="Strong"/>
          <w:rFonts w:ascii="仿宋_GB2312" w:eastAsia="仿宋_GB2312" w:hAnsi="仿宋_GB2312" w:cs="仿宋_GB2312" w:hint="eastAsia"/>
          <w:b w:val="0"/>
          <w:color w:val="auto"/>
          <w:sz w:val="32"/>
          <w:szCs w:val="32"/>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评价的对象及主要内容为:</w:t>
      </w:r>
      <w:r>
        <w:rPr>
          <w:rStyle w:val="Strong"/>
          <w:rFonts w:ascii="仿宋_GB2312" w:eastAsia="仿宋_GB2312" w:hAnsi="仿宋_GB2312" w:cs="仿宋_GB2312" w:hint="eastAsia"/>
          <w:b w:val="0"/>
          <w:bCs w:val="0"/>
          <w:color w:val="auto"/>
          <w:sz w:val="32"/>
          <w:szCs w:val="32"/>
        </w:rPr>
        <w:t>一是</w:t>
      </w:r>
      <w:r>
        <w:rPr>
          <w:rStyle w:val="Strong"/>
          <w:rFonts w:ascii="仿宋_GB2312" w:eastAsia="仿宋_GB2312" w:hAnsi="仿宋_GB2312" w:cs="仿宋_GB2312" w:hint="eastAsia"/>
          <w:b w:val="0"/>
          <w:color w:val="auto"/>
          <w:sz w:val="32"/>
          <w:szCs w:val="32"/>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32"/>
          <w:szCs w:val="32"/>
        </w:rPr>
        <w:t>二是</w:t>
      </w:r>
      <w:r>
        <w:rPr>
          <w:rStyle w:val="Strong"/>
          <w:rFonts w:ascii="仿宋_GB2312" w:eastAsia="仿宋_GB2312" w:hAnsi="仿宋_GB2312" w:cs="仿宋_GB2312" w:hint="eastAsia"/>
          <w:b w:val="0"/>
          <w:color w:val="auto"/>
          <w:sz w:val="32"/>
          <w:szCs w:val="32"/>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32"/>
          <w:szCs w:val="32"/>
        </w:rPr>
        <w:t>三是</w:t>
      </w:r>
      <w:r>
        <w:rPr>
          <w:rStyle w:val="Strong"/>
          <w:rFonts w:ascii="仿宋_GB2312" w:eastAsia="仿宋_GB2312" w:hAnsi="仿宋_GB2312" w:cs="仿宋_GB2312" w:hint="eastAsia"/>
          <w:b w:val="0"/>
          <w:color w:val="auto"/>
          <w:sz w:val="32"/>
          <w:szCs w:val="32"/>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32"/>
          <w:szCs w:val="32"/>
        </w:rPr>
        <w:t>四是</w:t>
      </w:r>
      <w:r>
        <w:rPr>
          <w:rStyle w:val="Strong"/>
          <w:rFonts w:ascii="仿宋_GB2312" w:eastAsia="仿宋_GB2312" w:hAnsi="仿宋_GB2312" w:cs="仿宋_GB2312" w:hint="eastAsia"/>
          <w:b w:val="0"/>
          <w:color w:val="auto"/>
          <w:sz w:val="32"/>
          <w:szCs w:val="32"/>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3.涉及的范围</w:t>
      </w:r>
    </w:p>
    <w:bookmarkEnd w:id="4"/>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32"/>
          <w:szCs w:val="32"/>
        </w:rPr>
      </w:pPr>
      <w:bookmarkStart w:id="5" w:name="_Toc32535_WPSOffice_Level1"/>
      <w:r>
        <w:rPr>
          <w:rFonts w:ascii="黑体" w:eastAsia="黑体" w:hAnsi="黑体" w:cs="仿宋_GB2312" w:hint="eastAsia"/>
          <w:color w:val="auto"/>
          <w:sz w:val="32"/>
          <w:szCs w:val="32"/>
        </w:rPr>
        <w:t>部门单位整体支出管理及使用情况</w:t>
      </w:r>
      <w:bookmarkEnd w:id="5"/>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本单位为加强预算管理，规范财务行为，已制定《乌苏市水利局部门单位预算绩效管理工作实施办法》，《乌苏市水利局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Fonts w:ascii="仿宋_GB2312" w:eastAsia="仿宋_GB2312" w:hAnsi="仿宋" w:cs="宋体" w:hint="eastAsia"/>
          <w:bCs/>
          <w:color w:val="auto"/>
          <w:sz w:val="32"/>
          <w:szCs w:val="32"/>
        </w:rPr>
        <w:t>按照乌苏市财政局预决算信息公开工作要求，我单位在塔城地区乌苏市人民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2022年本单位基本支出全年预算总额</w:t>
      </w:r>
      <w:r>
        <w:rPr>
          <w:rStyle w:val="Strong"/>
          <w:rFonts w:ascii="仿宋_GB2312" w:eastAsia="仿宋_GB2312" w:hAnsi="仿宋_GB2312" w:cs="仿宋_GB2312" w:hint="eastAsia"/>
          <w:b w:val="0"/>
          <w:color w:val="auto"/>
          <w:sz w:val="32"/>
          <w:szCs w:val="32"/>
          <w:lang w:val="en-US" w:eastAsia="zh-CN"/>
        </w:rPr>
        <w:t>2664.02</w:t>
      </w:r>
      <w:r>
        <w:rPr>
          <w:rStyle w:val="Strong"/>
          <w:rFonts w:ascii="仿宋_GB2312" w:eastAsia="仿宋_GB2312" w:hAnsi="仿宋_GB2312" w:cs="仿宋_GB2312" w:hint="eastAsia"/>
          <w:b w:val="0"/>
          <w:color w:val="auto"/>
          <w:sz w:val="32"/>
          <w:szCs w:val="32"/>
        </w:rPr>
        <w:t>万元，其中：人员经费</w:t>
      </w:r>
      <w:r>
        <w:rPr>
          <w:rStyle w:val="Strong"/>
          <w:rFonts w:ascii="仿宋_GB2312" w:eastAsia="仿宋_GB2312" w:hAnsi="仿宋_GB2312" w:cs="仿宋_GB2312" w:hint="eastAsia"/>
          <w:b w:val="0"/>
          <w:color w:val="auto"/>
          <w:sz w:val="32"/>
          <w:szCs w:val="32"/>
          <w:lang w:val="en-US" w:eastAsia="zh-CN"/>
        </w:rPr>
        <w:t>2628.58</w:t>
      </w:r>
      <w:r>
        <w:rPr>
          <w:rStyle w:val="Strong"/>
          <w:rFonts w:ascii="仿宋_GB2312" w:eastAsia="仿宋_GB2312" w:hAnsi="仿宋_GB2312" w:cs="仿宋_GB2312" w:hint="eastAsia"/>
          <w:b w:val="0"/>
          <w:color w:val="auto"/>
          <w:sz w:val="32"/>
          <w:szCs w:val="32"/>
        </w:rPr>
        <w:t>万元，公用经费</w:t>
      </w:r>
      <w:r>
        <w:rPr>
          <w:rStyle w:val="Strong"/>
          <w:rFonts w:ascii="仿宋_GB2312" w:eastAsia="仿宋_GB2312" w:hAnsi="仿宋_GB2312" w:cs="仿宋_GB2312" w:hint="eastAsia"/>
          <w:b w:val="0"/>
          <w:color w:val="auto"/>
          <w:sz w:val="32"/>
          <w:szCs w:val="32"/>
          <w:lang w:val="en-US" w:eastAsia="zh-CN"/>
        </w:rPr>
        <w:t>35.44</w:t>
      </w:r>
      <w:r>
        <w:rPr>
          <w:rStyle w:val="Strong"/>
          <w:rFonts w:ascii="仿宋_GB2312" w:eastAsia="仿宋_GB2312" w:hAnsi="仿宋_GB2312" w:cs="仿宋_GB2312" w:hint="eastAsia"/>
          <w:b w:val="0"/>
          <w:color w:val="auto"/>
          <w:sz w:val="32"/>
          <w:szCs w:val="32"/>
        </w:rPr>
        <w:t>万元。实际支出</w:t>
      </w:r>
      <w:r>
        <w:rPr>
          <w:rStyle w:val="Strong"/>
          <w:rFonts w:ascii="仿宋_GB2312" w:eastAsia="仿宋_GB2312" w:hAnsi="仿宋_GB2312" w:cs="仿宋_GB2312" w:hint="eastAsia"/>
          <w:b w:val="0"/>
          <w:color w:val="auto"/>
          <w:sz w:val="32"/>
          <w:szCs w:val="32"/>
          <w:lang w:val="en-US" w:eastAsia="zh-CN"/>
        </w:rPr>
        <w:t>2664.02</w:t>
      </w:r>
      <w:r>
        <w:rPr>
          <w:rStyle w:val="Strong"/>
          <w:rFonts w:ascii="仿宋_GB2312" w:eastAsia="仿宋_GB2312" w:hAnsi="仿宋_GB2312" w:cs="仿宋_GB2312" w:hint="eastAsia"/>
          <w:b w:val="0"/>
          <w:color w:val="auto"/>
          <w:sz w:val="32"/>
          <w:szCs w:val="32"/>
        </w:rPr>
        <w:t>万元，基本支出预算执行率</w:t>
      </w:r>
      <w:r>
        <w:rPr>
          <w:rStyle w:val="Strong"/>
          <w:rFonts w:ascii="仿宋_GB2312" w:eastAsia="仿宋_GB2312" w:hAnsi="仿宋_GB2312" w:cs="仿宋_GB2312" w:hint="eastAsia"/>
          <w:b w:val="0"/>
          <w:color w:val="auto"/>
          <w:sz w:val="32"/>
          <w:szCs w:val="32"/>
          <w:lang w:val="en-US" w:eastAsia="zh-CN"/>
        </w:rPr>
        <w:t>100%</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基本支出严格按照财务管理制度执行。人员工资由编办、人社局、社保局、医保局、住房公积金管理办公室及财政局等部门逐个审核，按月申报及发放。基本公用经费用于支付办公室日常的邮电费、办公用品、办公耗材款等，公务用车运行维护费主要用于车辆加油、维修及购买车辆保险。</w:t>
      </w:r>
    </w:p>
    <w:p>
      <w:pPr>
        <w:pStyle w:val="ListParagraph"/>
        <w:snapToGrid w:val="0"/>
        <w:spacing w:line="540" w:lineRule="exact"/>
        <w:ind w:firstLine="643"/>
        <w:outlineLvl w:val="2"/>
        <w:rPr>
          <w:rStyle w:val="Strong"/>
          <w:rFonts w:ascii="仿宋_GB2312" w:eastAsia="仿宋_GB2312" w:hAnsi="仿宋_GB2312" w:cs="仿宋_GB2312"/>
          <w:bCs w:val="0"/>
          <w:color w:val="auto"/>
          <w:sz w:val="32"/>
          <w:szCs w:val="32"/>
        </w:rPr>
      </w:pPr>
      <w:r>
        <w:rPr>
          <w:rStyle w:val="Strong"/>
          <w:rFonts w:ascii="仿宋_GB2312" w:eastAsia="仿宋_GB2312" w:hAnsi="仿宋_GB2312" w:cs="仿宋_GB2312" w:hint="eastAsia"/>
          <w:bCs w:val="0"/>
          <w:color w:val="auto"/>
          <w:sz w:val="32"/>
          <w:szCs w:val="32"/>
        </w:rPr>
        <w:t>2.三公经费控制情况</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只减不增。2022年</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rPr>
        <w:t>“三公”经费</w:t>
      </w:r>
      <w:r>
        <w:rPr>
          <w:rFonts w:ascii="仿宋_GB2312" w:eastAsia="仿宋_GB2312" w:hAnsi="仿宋" w:cs="宋体" w:hint="eastAsia"/>
          <w:bCs/>
          <w:color w:val="auto"/>
          <w:sz w:val="32"/>
          <w:szCs w:val="32"/>
        </w:rPr>
        <w:t>控制率为</w:t>
      </w:r>
      <w:r>
        <w:rPr>
          <w:rFonts w:ascii="仿宋_GB2312" w:eastAsia="仿宋_GB2312" w:hAnsi="仿宋" w:cs="宋体" w:hint="eastAsia"/>
          <w:bCs/>
          <w:color w:val="auto"/>
          <w:sz w:val="32"/>
          <w:szCs w:val="32"/>
          <w:lang w:val="en-US" w:eastAsia="zh-CN"/>
        </w:rPr>
        <w:t>100</w:t>
      </w:r>
      <w:r>
        <w:rPr>
          <w:rFonts w:ascii="仿宋_GB2312" w:eastAsia="仿宋_GB2312" w:hAnsi="仿宋" w:cs="宋体" w:hint="eastAsia"/>
          <w:bCs/>
          <w:color w:val="auto"/>
          <w:sz w:val="32"/>
          <w:szCs w:val="32"/>
        </w:rPr>
        <w:t>%，其中：因公出国（境）费预算为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万元；公务接待费预算为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万元；公务用车购置费预算为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万元；公务用车运行维护费预算为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万元，实际支出</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万元，公务用车运行维护费控制率</w:t>
      </w:r>
      <w:r>
        <w:rPr>
          <w:rFonts w:ascii="仿宋_GB2312" w:eastAsia="仿宋_GB2312" w:hAnsi="仿宋" w:cs="宋体" w:hint="eastAsia"/>
          <w:bCs/>
          <w:color w:val="auto"/>
          <w:sz w:val="32"/>
          <w:szCs w:val="32"/>
          <w:lang w:val="en-US" w:eastAsia="zh-CN"/>
        </w:rPr>
        <w:t>100</w:t>
      </w:r>
      <w:r>
        <w:rPr>
          <w:rFonts w:ascii="仿宋_GB2312" w:eastAsia="仿宋_GB2312" w:hAnsi="仿宋" w:cs="宋体" w:hint="eastAsia"/>
          <w:bCs/>
          <w:color w:val="auto"/>
          <w:sz w:val="32"/>
          <w:szCs w:val="32"/>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32"/>
          <w:szCs w:val="32"/>
        </w:rPr>
      </w:pPr>
      <w:r>
        <w:rPr>
          <w:rStyle w:val="Strong"/>
          <w:rFonts w:ascii="楷体_GB2312" w:eastAsia="楷体_GB2312" w:hAnsi="仿宋_GB2312" w:cs="仿宋_GB2312" w:hint="eastAsia"/>
          <w:bCs w:val="0"/>
          <w:color w:val="auto"/>
          <w:sz w:val="32"/>
          <w:szCs w:val="32"/>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2022年本单位安排专项支出预算总额</w:t>
      </w:r>
      <w:r>
        <w:rPr>
          <w:rStyle w:val="Strong"/>
          <w:rFonts w:ascii="仿宋_GB2312" w:eastAsia="仿宋_GB2312" w:hAnsi="仿宋_GB2312" w:cs="仿宋_GB2312" w:hint="eastAsia"/>
          <w:b w:val="0"/>
          <w:color w:val="auto"/>
          <w:sz w:val="32"/>
          <w:szCs w:val="32"/>
          <w:lang w:val="en-US" w:eastAsia="zh-CN"/>
        </w:rPr>
        <w:t>5550.39</w:t>
      </w:r>
      <w:r>
        <w:rPr>
          <w:rStyle w:val="Strong"/>
          <w:rFonts w:ascii="仿宋_GB2312" w:eastAsia="仿宋_GB2312" w:hAnsi="仿宋_GB2312" w:cs="仿宋_GB2312" w:hint="eastAsia"/>
          <w:b w:val="0"/>
          <w:color w:val="auto"/>
          <w:sz w:val="32"/>
          <w:szCs w:val="32"/>
        </w:rPr>
        <w:t>万元（本年度所有项目资金），实际支出</w:t>
      </w:r>
      <w:r>
        <w:rPr>
          <w:rStyle w:val="Strong"/>
          <w:rFonts w:ascii="仿宋_GB2312" w:eastAsia="仿宋_GB2312" w:hAnsi="仿宋_GB2312" w:cs="仿宋_GB2312" w:hint="eastAsia"/>
          <w:b w:val="0"/>
          <w:color w:val="auto"/>
          <w:sz w:val="32"/>
          <w:szCs w:val="32"/>
          <w:lang w:val="en-US" w:eastAsia="zh-CN"/>
        </w:rPr>
        <w:t>4321.57</w:t>
      </w:r>
      <w:r>
        <w:rPr>
          <w:rStyle w:val="Strong"/>
          <w:rFonts w:ascii="仿宋_GB2312" w:eastAsia="仿宋_GB2312" w:hAnsi="仿宋_GB2312" w:cs="仿宋_GB2312" w:hint="eastAsia"/>
          <w:b w:val="0"/>
          <w:color w:val="auto"/>
          <w:sz w:val="32"/>
          <w:szCs w:val="32"/>
        </w:rPr>
        <w:t>万元，专项支出预算执行率</w:t>
      </w:r>
      <w:r>
        <w:rPr>
          <w:rStyle w:val="Strong"/>
          <w:rFonts w:ascii="仿宋_GB2312" w:eastAsia="仿宋_GB2312" w:hAnsi="仿宋_GB2312" w:cs="仿宋_GB2312" w:hint="eastAsia"/>
          <w:b w:val="0"/>
          <w:color w:val="auto"/>
          <w:sz w:val="32"/>
          <w:szCs w:val="32"/>
          <w:lang w:val="en-US" w:eastAsia="zh-CN"/>
        </w:rPr>
        <w:t>77.86%</w:t>
      </w:r>
      <w:r>
        <w:rPr>
          <w:rStyle w:val="Strong"/>
          <w:rFonts w:ascii="仿宋_GB2312" w:eastAsia="仿宋_GB2312" w:hAnsi="仿宋_GB2312" w:cs="仿宋_GB2312" w:hint="eastAsia"/>
          <w:b w:val="0"/>
          <w:color w:val="auto"/>
          <w:sz w:val="32"/>
          <w:szCs w:val="32"/>
        </w:rPr>
        <w:t>。</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2022年本单位共有</w:t>
      </w:r>
      <w:r>
        <w:rPr>
          <w:rStyle w:val="Strong"/>
          <w:rFonts w:ascii="仿宋_GB2312" w:eastAsia="仿宋_GB2312" w:hAnsi="仿宋_GB2312" w:cs="仿宋_GB2312" w:hint="eastAsia"/>
          <w:b w:val="0"/>
          <w:color w:val="auto"/>
          <w:sz w:val="32"/>
          <w:szCs w:val="32"/>
          <w:lang w:val="en-US" w:eastAsia="zh-CN"/>
        </w:rPr>
        <w:t>12</w:t>
      </w:r>
      <w:r>
        <w:rPr>
          <w:rStyle w:val="Strong"/>
          <w:rFonts w:ascii="仿宋_GB2312" w:eastAsia="仿宋_GB2312" w:hAnsi="仿宋_GB2312" w:cs="仿宋_GB2312" w:hint="eastAsia"/>
          <w:b w:val="0"/>
          <w:color w:val="auto"/>
          <w:sz w:val="32"/>
          <w:szCs w:val="32"/>
        </w:rPr>
        <w:t>个资金项目，其中</w:t>
      </w:r>
      <w:r>
        <w:rPr>
          <w:rStyle w:val="Strong"/>
          <w:rFonts w:ascii="仿宋_GB2312" w:eastAsia="仿宋_GB2312" w:hAnsi="仿宋_GB2312" w:cs="仿宋_GB2312" w:hint="eastAsia"/>
          <w:b w:val="0"/>
          <w:color w:val="auto"/>
          <w:sz w:val="32"/>
          <w:szCs w:val="32"/>
          <w:lang w:val="en-US" w:eastAsia="zh-CN"/>
        </w:rPr>
        <w:t>3</w:t>
      </w:r>
      <w:r>
        <w:rPr>
          <w:rStyle w:val="Strong"/>
          <w:rFonts w:ascii="仿宋_GB2312" w:eastAsia="仿宋_GB2312" w:hAnsi="仿宋_GB2312" w:cs="仿宋_GB2312" w:hint="eastAsia"/>
          <w:b w:val="0"/>
          <w:color w:val="auto"/>
          <w:sz w:val="32"/>
          <w:szCs w:val="32"/>
        </w:rPr>
        <w:t>个属经常性项目、</w:t>
      </w:r>
      <w:r>
        <w:rPr>
          <w:rStyle w:val="Strong"/>
          <w:rFonts w:ascii="仿宋_GB2312" w:eastAsia="仿宋_GB2312" w:hAnsi="仿宋_GB2312" w:cs="仿宋_GB2312" w:hint="eastAsia"/>
          <w:b w:val="0"/>
          <w:color w:val="auto"/>
          <w:sz w:val="32"/>
          <w:szCs w:val="32"/>
          <w:lang w:val="en-US" w:eastAsia="zh-CN"/>
        </w:rPr>
        <w:t>4</w:t>
      </w:r>
      <w:r>
        <w:rPr>
          <w:rStyle w:val="Strong"/>
          <w:rFonts w:ascii="仿宋_GB2312" w:eastAsia="仿宋_GB2312" w:hAnsi="仿宋_GB2312" w:cs="仿宋_GB2312" w:hint="eastAsia"/>
          <w:b w:val="0"/>
          <w:color w:val="auto"/>
          <w:sz w:val="32"/>
          <w:szCs w:val="32"/>
        </w:rPr>
        <w:t>个属当年度新增项目，已完成项目</w:t>
      </w:r>
      <w:r>
        <w:rPr>
          <w:rStyle w:val="Strong"/>
          <w:rFonts w:ascii="仿宋_GB2312" w:eastAsia="仿宋_GB2312" w:hAnsi="仿宋_GB2312" w:cs="仿宋_GB2312" w:hint="eastAsia"/>
          <w:b w:val="0"/>
          <w:color w:val="auto"/>
          <w:sz w:val="32"/>
          <w:szCs w:val="32"/>
          <w:lang w:val="en-US" w:eastAsia="zh-CN"/>
        </w:rPr>
        <w:t>10</w:t>
      </w:r>
      <w:r>
        <w:rPr>
          <w:rStyle w:val="Strong"/>
          <w:rFonts w:ascii="仿宋_GB2312" w:eastAsia="仿宋_GB2312" w:hAnsi="仿宋_GB2312" w:cs="仿宋_GB2312" w:hint="eastAsia"/>
          <w:b w:val="0"/>
          <w:color w:val="auto"/>
          <w:sz w:val="32"/>
          <w:szCs w:val="32"/>
        </w:rPr>
        <w:t>个、未完成项目</w:t>
      </w:r>
      <w:r>
        <w:rPr>
          <w:rStyle w:val="Strong"/>
          <w:rFonts w:ascii="仿宋_GB2312" w:eastAsia="仿宋_GB2312" w:hAnsi="仿宋_GB2312" w:cs="仿宋_GB2312" w:hint="eastAsia"/>
          <w:b w:val="0"/>
          <w:color w:val="auto"/>
          <w:sz w:val="32"/>
          <w:szCs w:val="32"/>
          <w:lang w:val="en-US" w:eastAsia="zh-CN"/>
        </w:rPr>
        <w:t>2</w:t>
      </w:r>
      <w:r>
        <w:rPr>
          <w:rStyle w:val="Strong"/>
          <w:rFonts w:ascii="仿宋_GB2312" w:eastAsia="仿宋_GB2312" w:hAnsi="仿宋_GB2312" w:cs="仿宋_GB2312" w:hint="eastAsia"/>
          <w:b w:val="0"/>
          <w:color w:val="auto"/>
          <w:sz w:val="32"/>
          <w:szCs w:val="32"/>
        </w:rPr>
        <w:t>个。</w:t>
      </w:r>
    </w:p>
    <w:p>
      <w:pPr>
        <w:snapToGrid w:val="0"/>
        <w:spacing w:line="540" w:lineRule="exact"/>
        <w:ind w:left="648"/>
        <w:outlineLvl w:val="0"/>
        <w:rPr>
          <w:rFonts w:ascii="黑体" w:eastAsia="黑体" w:hAnsi="黑体" w:cs="仿宋_GB2312"/>
          <w:color w:val="auto"/>
          <w:sz w:val="32"/>
          <w:szCs w:val="32"/>
        </w:rPr>
      </w:pPr>
      <w:bookmarkStart w:id="6" w:name="_Toc1734_WPSOffice_Level1"/>
      <w:r>
        <w:rPr>
          <w:rFonts w:ascii="黑体" w:eastAsia="黑体" w:hAnsi="黑体" w:cs="仿宋_GB2312" w:hint="eastAsia"/>
          <w:color w:val="auto"/>
          <w:sz w:val="32"/>
          <w:szCs w:val="32"/>
        </w:rPr>
        <w:t>三、部门单位专项组织实施情况</w:t>
      </w:r>
      <w:bookmarkEnd w:id="6"/>
    </w:p>
    <w:p>
      <w:pPr>
        <w:pStyle w:val="ListParagraph"/>
        <w:snapToGrid w:val="0"/>
        <w:spacing w:line="540" w:lineRule="exact"/>
        <w:ind w:firstLine="640"/>
        <w:rPr>
          <w:rStyle w:val="Strong"/>
          <w:rFonts w:ascii="仿宋_GB2312" w:eastAsia="仿宋_GB2312" w:hAnsi="仿宋_GB2312" w:cs="仿宋_GB2312"/>
          <w:bCs w:val="0"/>
          <w:color w:val="auto"/>
          <w:spacing w:val="-4"/>
          <w:sz w:val="32"/>
          <w:szCs w:val="32"/>
        </w:rPr>
      </w:pPr>
      <w:r>
        <w:rPr>
          <w:rStyle w:val="Strong"/>
          <w:rFonts w:ascii="仿宋_GB2312" w:eastAsia="仿宋_GB2312" w:hAnsi="仿宋_GB2312" w:cs="仿宋_GB2312" w:hint="eastAsia"/>
          <w:b w:val="0"/>
          <w:color w:val="auto"/>
          <w:sz w:val="32"/>
          <w:szCs w:val="32"/>
        </w:rPr>
        <w:t>本年我单位实施专项项目</w:t>
      </w:r>
      <w:r>
        <w:rPr>
          <w:rStyle w:val="Strong"/>
          <w:rFonts w:ascii="仿宋_GB2312" w:eastAsia="仿宋_GB2312" w:hAnsi="仿宋_GB2312" w:cs="仿宋_GB2312" w:hint="eastAsia"/>
          <w:b w:val="0"/>
          <w:color w:val="auto"/>
          <w:sz w:val="32"/>
          <w:szCs w:val="32"/>
          <w:lang w:val="en-US" w:eastAsia="zh-CN"/>
        </w:rPr>
        <w:t>12</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4321.57</w:t>
      </w:r>
      <w:r>
        <w:rPr>
          <w:rStyle w:val="Strong"/>
          <w:rFonts w:ascii="仿宋_GB2312" w:eastAsia="仿宋_GB2312" w:hAnsi="仿宋_GB2312" w:cs="仿宋_GB2312" w:hint="eastAsia"/>
          <w:b w:val="0"/>
          <w:color w:val="auto"/>
          <w:sz w:val="32"/>
          <w:szCs w:val="32"/>
        </w:rPr>
        <w:t>万元，其中：中央专项项目</w:t>
      </w:r>
      <w:r>
        <w:rPr>
          <w:rStyle w:val="Strong"/>
          <w:rFonts w:ascii="仿宋_GB2312" w:eastAsia="仿宋_GB2312" w:hAnsi="仿宋_GB2312" w:cs="仿宋_GB2312" w:hint="eastAsia"/>
          <w:b w:val="0"/>
          <w:color w:val="auto"/>
          <w:sz w:val="32"/>
          <w:szCs w:val="32"/>
          <w:lang w:val="en-US" w:eastAsia="zh-CN"/>
        </w:rPr>
        <w:t>8</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2615.01</w:t>
      </w:r>
      <w:r>
        <w:rPr>
          <w:rStyle w:val="Strong"/>
          <w:rFonts w:ascii="仿宋_GB2312" w:eastAsia="仿宋_GB2312" w:hAnsi="仿宋_GB2312" w:cs="仿宋_GB2312" w:hint="eastAsia"/>
          <w:b w:val="0"/>
          <w:color w:val="auto"/>
          <w:sz w:val="32"/>
          <w:szCs w:val="32"/>
        </w:rPr>
        <w:t>万元，自治区专项项目</w:t>
      </w:r>
      <w:r>
        <w:rPr>
          <w:rStyle w:val="Strong"/>
          <w:rFonts w:ascii="仿宋_GB2312" w:eastAsia="仿宋_GB2312" w:hAnsi="仿宋_GB2312" w:cs="仿宋_GB2312" w:hint="eastAsia"/>
          <w:b w:val="0"/>
          <w:color w:val="auto"/>
          <w:sz w:val="32"/>
          <w:szCs w:val="32"/>
          <w:lang w:val="en-US" w:eastAsia="zh-CN"/>
        </w:rPr>
        <w:t>3</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27.29</w:t>
      </w:r>
      <w:r>
        <w:rPr>
          <w:rStyle w:val="Strong"/>
          <w:rFonts w:ascii="仿宋_GB2312" w:eastAsia="仿宋_GB2312" w:hAnsi="仿宋_GB2312" w:cs="仿宋_GB2312" w:hint="eastAsia"/>
          <w:b w:val="0"/>
          <w:color w:val="auto"/>
          <w:sz w:val="32"/>
          <w:szCs w:val="32"/>
        </w:rPr>
        <w:t>万元，地区本级专项项目</w:t>
      </w:r>
      <w:r>
        <w:rPr>
          <w:rStyle w:val="Strong"/>
          <w:rFonts w:ascii="仿宋_GB2312" w:eastAsia="仿宋_GB2312" w:hAnsi="仿宋_GB2312" w:cs="仿宋_GB2312" w:hint="eastAsia"/>
          <w:b w:val="0"/>
          <w:color w:val="auto"/>
          <w:sz w:val="32"/>
          <w:szCs w:val="32"/>
          <w:lang w:val="en-US" w:eastAsia="zh-CN"/>
        </w:rPr>
        <w:t>1</w:t>
      </w:r>
      <w:r>
        <w:rPr>
          <w:rStyle w:val="Strong"/>
          <w:rFonts w:ascii="仿宋_GB2312" w:eastAsia="仿宋_GB2312" w:hAnsi="仿宋_GB2312" w:cs="仿宋_GB2312" w:hint="eastAsia"/>
          <w:b w:val="0"/>
          <w:color w:val="auto"/>
          <w:sz w:val="32"/>
          <w:szCs w:val="32"/>
        </w:rPr>
        <w:t>个涉及金额</w:t>
      </w:r>
      <w:r>
        <w:rPr>
          <w:rStyle w:val="Strong"/>
          <w:rFonts w:ascii="仿宋_GB2312" w:eastAsia="仿宋_GB2312" w:hAnsi="仿宋_GB2312" w:cs="仿宋_GB2312" w:hint="eastAsia"/>
          <w:b w:val="0"/>
          <w:color w:val="auto"/>
          <w:sz w:val="32"/>
          <w:szCs w:val="32"/>
          <w:lang w:val="en-US" w:eastAsia="zh-CN"/>
        </w:rPr>
        <w:t>1679.27</w:t>
      </w:r>
      <w:r>
        <w:rPr>
          <w:rStyle w:val="Strong"/>
          <w:rFonts w:ascii="仿宋_GB2312" w:eastAsia="仿宋_GB2312" w:hAnsi="仿宋_GB2312" w:cs="仿宋_GB2312" w:hint="eastAsia"/>
          <w:b w:val="0"/>
          <w:color w:val="auto"/>
          <w:sz w:val="32"/>
          <w:szCs w:val="32"/>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bCs w:val="0"/>
          <w:color w:val="auto"/>
          <w:spacing w:val="-4"/>
          <w:sz w:val="32"/>
          <w:szCs w:val="32"/>
        </w:rPr>
        <w:t>（一）</w:t>
      </w:r>
      <w:r>
        <w:rPr>
          <w:rStyle w:val="Strong"/>
          <w:rFonts w:ascii="楷体_GB2312" w:eastAsia="楷体_GB2312" w:hAnsi="仿宋_GB2312" w:cs="仿宋_GB2312" w:hint="eastAsia"/>
          <w:bCs w:val="0"/>
          <w:color w:val="auto"/>
          <w:spacing w:val="-4"/>
          <w:sz w:val="32"/>
          <w:szCs w:val="32"/>
          <w:lang w:eastAsia="zh-CN"/>
        </w:rPr>
        <w:t>乌苏市水利局</w:t>
      </w:r>
      <w:r>
        <w:rPr>
          <w:rFonts w:ascii="楷体_GB2312" w:eastAsia="楷体_GB2312" w:hAnsi="仿宋_GB2312" w:cs="仿宋_GB2312" w:hint="eastAsia"/>
          <w:b/>
          <w:color w:val="auto"/>
          <w:sz w:val="32"/>
          <w:szCs w:val="32"/>
        </w:rPr>
        <w:t>单位</w:t>
      </w:r>
      <w:r>
        <w:rPr>
          <w:rStyle w:val="Strong"/>
          <w:rFonts w:ascii="楷体_GB2312" w:eastAsia="楷体_GB2312" w:hAnsi="仿宋_GB2312" w:cs="仿宋_GB2312" w:hint="eastAsia"/>
          <w:bCs w:val="0"/>
          <w:color w:val="auto"/>
          <w:spacing w:val="-4"/>
          <w:sz w:val="32"/>
          <w:szCs w:val="32"/>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1.前期准备</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我单位成立</w:t>
      </w:r>
      <w:r>
        <w:rPr>
          <w:rStyle w:val="Strong"/>
          <w:rFonts w:ascii="仿宋_GB2312" w:eastAsia="仿宋_GB2312" w:hAnsi="仿宋_GB2312" w:cs="仿宋_GB2312" w:hint="eastAsia"/>
          <w:b w:val="0"/>
          <w:color w:val="auto"/>
          <w:sz w:val="32"/>
          <w:szCs w:val="32"/>
          <w:lang w:eastAsia="zh-CN"/>
        </w:rPr>
        <w:t>水利局绩效评价</w:t>
      </w:r>
      <w:r>
        <w:rPr>
          <w:rStyle w:val="Strong"/>
          <w:rFonts w:ascii="仿宋_GB2312" w:eastAsia="仿宋_GB2312" w:hAnsi="仿宋_GB2312" w:cs="仿宋_GB2312" w:hint="eastAsia"/>
          <w:b w:val="0"/>
          <w:color w:val="auto"/>
          <w:sz w:val="32"/>
          <w:szCs w:val="32"/>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lang w:eastAsia="zh-CN"/>
        </w:rPr>
        <w:t>丁胜利</w:t>
      </w:r>
      <w:r>
        <w:rPr>
          <w:rStyle w:val="Strong"/>
          <w:rFonts w:ascii="仿宋_GB2312" w:eastAsia="仿宋_GB2312" w:hAnsi="仿宋_GB2312" w:cs="仿宋_GB2312" w:hint="eastAsia"/>
          <w:b w:val="0"/>
          <w:color w:val="auto"/>
          <w:sz w:val="32"/>
          <w:szCs w:val="32"/>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lang w:eastAsia="zh-CN"/>
        </w:rPr>
        <w:t>黄军</w:t>
      </w:r>
      <w:r>
        <w:rPr>
          <w:rStyle w:val="Strong"/>
          <w:rFonts w:ascii="仿宋_GB2312" w:eastAsia="仿宋_GB2312" w:hAnsi="仿宋_GB2312" w:cs="仿宋_GB2312" w:hint="eastAsia"/>
          <w:b w:val="0"/>
          <w:color w:val="auto"/>
          <w:sz w:val="32"/>
          <w:szCs w:val="32"/>
        </w:rPr>
        <w:t>任副组长，绩效评价工作职责为对项目实施情况进行实地调查。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lang w:eastAsia="zh-CN"/>
        </w:rPr>
        <w:t>张国华</w:t>
      </w:r>
      <w:r>
        <w:rPr>
          <w:rStyle w:val="Strong"/>
          <w:rFonts w:ascii="仿宋_GB2312" w:eastAsia="仿宋_GB2312" w:hAnsi="仿宋_GB2312" w:cs="仿宋_GB2312" w:hint="eastAsia"/>
          <w:b w:val="0"/>
          <w:color w:val="auto"/>
          <w:sz w:val="32"/>
          <w:szCs w:val="32"/>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2.组织实施</w:t>
      </w:r>
    </w:p>
    <w:p>
      <w:pPr>
        <w:pStyle w:val="ListParagraph"/>
        <w:snapToGrid w:val="0"/>
        <w:spacing w:line="540" w:lineRule="exact"/>
        <w:ind w:firstLine="640"/>
        <w:rPr>
          <w:rStyle w:val="Strong"/>
          <w:rFonts w:ascii="仿宋_GB2312" w:eastAsia="仿宋_GB2312" w:hAnsi="仿宋_GB2312" w:cs="仿宋_GB2312"/>
          <w:b w:val="0"/>
          <w:color w:val="auto"/>
          <w:sz w:val="32"/>
          <w:szCs w:val="32"/>
        </w:rPr>
      </w:pPr>
      <w:r>
        <w:rPr>
          <w:rStyle w:val="Strong"/>
          <w:rFonts w:ascii="仿宋_GB2312" w:eastAsia="仿宋_GB2312" w:hAnsi="仿宋_GB2312" w:cs="仿宋_GB2312" w:hint="eastAsia"/>
          <w:b w:val="0"/>
          <w:color w:val="auto"/>
          <w:sz w:val="32"/>
          <w:szCs w:val="32"/>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1.项目资金情况</w:t>
      </w:r>
      <w:r>
        <w:rPr>
          <w:rStyle w:val="Strong"/>
          <w:rFonts w:ascii="仿宋_GB2312" w:eastAsia="仿宋_GB2312" w:hAnsi="仿宋_GB2312" w:cs="仿宋_GB2312" w:hint="eastAsia"/>
          <w:b w:val="0"/>
          <w:color w:val="auto"/>
          <w:sz w:val="32"/>
          <w:szCs w:val="32"/>
        </w:rPr>
        <w:t>（本年度所有项目资金）</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项目预算资金</w:t>
      </w:r>
      <w:r>
        <w:rPr>
          <w:rStyle w:val="Strong"/>
          <w:rFonts w:ascii="仿宋_GB2312" w:eastAsia="仿宋_GB2312" w:hAnsi="仿宋_GB2312" w:cs="仿宋_GB2312" w:hint="eastAsia"/>
          <w:b w:val="0"/>
          <w:bCs w:val="0"/>
          <w:color w:val="auto"/>
          <w:spacing w:val="-4"/>
          <w:sz w:val="32"/>
          <w:szCs w:val="32"/>
          <w:lang w:val="en-US" w:eastAsia="zh-CN"/>
        </w:rPr>
        <w:t>4321.57</w:t>
      </w:r>
      <w:r>
        <w:rPr>
          <w:rStyle w:val="Strong"/>
          <w:rFonts w:ascii="仿宋_GB2312" w:eastAsia="仿宋_GB2312" w:hAnsi="仿宋_GB2312" w:cs="仿宋_GB2312" w:hint="eastAsia"/>
          <w:b w:val="0"/>
          <w:bCs w:val="0"/>
          <w:color w:val="auto"/>
          <w:spacing w:val="-4"/>
          <w:sz w:val="32"/>
          <w:szCs w:val="32"/>
        </w:rPr>
        <w:t>万元，实际到位</w:t>
      </w:r>
      <w:r>
        <w:rPr>
          <w:rStyle w:val="Strong"/>
          <w:rFonts w:ascii="仿宋_GB2312" w:eastAsia="仿宋_GB2312" w:hAnsi="仿宋_GB2312" w:cs="仿宋_GB2312" w:hint="eastAsia"/>
          <w:b w:val="0"/>
          <w:bCs w:val="0"/>
          <w:color w:val="auto"/>
          <w:spacing w:val="-4"/>
          <w:sz w:val="32"/>
          <w:szCs w:val="32"/>
          <w:lang w:val="en-US" w:eastAsia="zh-CN"/>
        </w:rPr>
        <w:t>4321.57</w:t>
      </w:r>
      <w:r>
        <w:rPr>
          <w:rStyle w:val="Strong"/>
          <w:rFonts w:ascii="仿宋_GB2312" w:eastAsia="仿宋_GB2312" w:hAnsi="仿宋_GB2312" w:cs="仿宋_GB2312" w:hint="eastAsia"/>
          <w:b w:val="0"/>
          <w:bCs w:val="0"/>
          <w:color w:val="auto"/>
          <w:spacing w:val="-4"/>
          <w:sz w:val="32"/>
          <w:szCs w:val="32"/>
        </w:rPr>
        <w:t>万元，实际支出</w:t>
      </w:r>
      <w:r>
        <w:rPr>
          <w:rStyle w:val="Strong"/>
          <w:rFonts w:ascii="仿宋_GB2312" w:eastAsia="仿宋_GB2312" w:hAnsi="仿宋_GB2312" w:cs="仿宋_GB2312" w:hint="eastAsia"/>
          <w:b w:val="0"/>
          <w:bCs w:val="0"/>
          <w:color w:val="auto"/>
          <w:spacing w:val="-4"/>
          <w:sz w:val="32"/>
          <w:szCs w:val="32"/>
          <w:lang w:val="en-US" w:eastAsia="zh-CN"/>
        </w:rPr>
        <w:t>4321.57</w:t>
      </w:r>
      <w:r>
        <w:rPr>
          <w:rStyle w:val="Strong"/>
          <w:rFonts w:ascii="仿宋_GB2312" w:eastAsia="仿宋_GB2312" w:hAnsi="仿宋_GB2312" w:cs="仿宋_GB2312" w:hint="eastAsia"/>
          <w:b w:val="0"/>
          <w:bCs w:val="0"/>
          <w:color w:val="auto"/>
          <w:spacing w:val="-4"/>
          <w:sz w:val="32"/>
          <w:szCs w:val="32"/>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32"/>
          <w:szCs w:val="32"/>
          <w:lang w:eastAsia="zh-CN"/>
        </w:rPr>
        <w:t>水利局</w:t>
      </w:r>
      <w:r>
        <w:rPr>
          <w:rStyle w:val="Strong"/>
          <w:rFonts w:ascii="仿宋_GB2312" w:eastAsia="仿宋_GB2312" w:hAnsi="仿宋_GB2312" w:cs="仿宋_GB2312" w:hint="eastAsia"/>
          <w:b w:val="0"/>
          <w:bCs w:val="0"/>
          <w:color w:val="auto"/>
          <w:spacing w:val="-4"/>
          <w:sz w:val="32"/>
          <w:szCs w:val="32"/>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项目组织情况：</w:t>
      </w:r>
      <w:r>
        <w:rPr>
          <w:rStyle w:val="Strong"/>
          <w:rFonts w:ascii="仿宋_GB2312" w:eastAsia="仿宋_GB2312" w:hAnsi="仿宋_GB2312" w:cs="仿宋_GB2312" w:hint="eastAsia"/>
          <w:b w:val="0"/>
          <w:bCs w:val="0"/>
          <w:color w:val="auto"/>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项目管理情况：</w:t>
      </w:r>
      <w:r>
        <w:rPr>
          <w:rStyle w:val="Strong"/>
          <w:rFonts w:ascii="仿宋_GB2312" w:eastAsia="仿宋_GB2312" w:hAnsi="仿宋_GB2312" w:cs="仿宋_GB2312" w:hint="eastAsia"/>
          <w:b w:val="0"/>
          <w:bCs w:val="0"/>
          <w:color w:val="auto"/>
          <w:spacing w:val="-4"/>
          <w:sz w:val="32"/>
          <w:szCs w:val="32"/>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项目监管情况：</w:t>
      </w:r>
      <w:r>
        <w:rPr>
          <w:rStyle w:val="Strong"/>
          <w:rFonts w:ascii="仿宋_GB2312" w:eastAsia="仿宋_GB2312" w:hAnsi="仿宋_GB2312" w:cs="仿宋_GB2312" w:hint="eastAsia"/>
          <w:b w:val="0"/>
          <w:bCs w:val="0"/>
          <w:color w:val="auto"/>
          <w:spacing w:val="-4"/>
          <w:sz w:val="32"/>
          <w:szCs w:val="32"/>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成本控制情况：</w:t>
      </w:r>
      <w:r>
        <w:rPr>
          <w:rStyle w:val="Strong"/>
          <w:rFonts w:ascii="仿宋_GB2312" w:eastAsia="仿宋_GB2312" w:hAnsi="仿宋_GB2312" w:cs="仿宋_GB2312" w:hint="eastAsia"/>
          <w:b w:val="0"/>
          <w:bCs w:val="0"/>
          <w:color w:val="auto"/>
          <w:spacing w:val="-4"/>
          <w:sz w:val="32"/>
          <w:szCs w:val="32"/>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成本节约情况：</w:t>
      </w:r>
      <w:r>
        <w:rPr>
          <w:rStyle w:val="Strong"/>
          <w:rFonts w:ascii="仿宋_GB2312" w:eastAsia="仿宋_GB2312" w:hAnsi="仿宋_GB2312" w:cs="仿宋_GB2312" w:hint="eastAsia"/>
          <w:b w:val="0"/>
          <w:bCs w:val="0"/>
          <w:color w:val="auto"/>
          <w:spacing w:val="-4"/>
          <w:sz w:val="32"/>
          <w:szCs w:val="32"/>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项目实施进度：</w:t>
      </w:r>
      <w:r>
        <w:rPr>
          <w:rStyle w:val="Strong"/>
          <w:rFonts w:ascii="仿宋_GB2312" w:eastAsia="仿宋_GB2312" w:hAnsi="仿宋_GB2312" w:cs="仿宋_GB2312" w:hint="eastAsia"/>
          <w:b w:val="0"/>
          <w:bCs w:val="0"/>
          <w:color w:val="auto"/>
          <w:spacing w:val="-4"/>
          <w:sz w:val="32"/>
          <w:szCs w:val="32"/>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项目完成质量：</w:t>
      </w:r>
      <w:r>
        <w:rPr>
          <w:rStyle w:val="Strong"/>
          <w:rFonts w:ascii="仿宋_GB2312" w:eastAsia="仿宋_GB2312" w:hAnsi="仿宋_GB2312" w:cs="仿宋_GB2312" w:hint="eastAsia"/>
          <w:b w:val="0"/>
          <w:bCs w:val="0"/>
          <w:color w:val="auto"/>
          <w:spacing w:val="-4"/>
          <w:sz w:val="32"/>
          <w:szCs w:val="32"/>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预期目标完成程度：</w:t>
      </w:r>
      <w:r>
        <w:rPr>
          <w:rStyle w:val="Strong"/>
          <w:rFonts w:ascii="仿宋_GB2312" w:eastAsia="仿宋_GB2312" w:hAnsi="仿宋_GB2312" w:cs="仿宋_GB2312" w:hint="eastAsia"/>
          <w:b w:val="0"/>
          <w:bCs w:val="0"/>
          <w:color w:val="auto"/>
          <w:spacing w:val="-4"/>
          <w:sz w:val="32"/>
          <w:szCs w:val="32"/>
        </w:rPr>
        <w:t>按预定目标完成了年初所设定的各项指标。专项经费实际支出未超出预算规定，保障了专项工作的开展。</w:t>
      </w:r>
    </w:p>
    <w:p>
      <w:pPr>
        <w:pStyle w:val="ListParagraph"/>
        <w:snapToGrid w:val="0"/>
        <w:spacing w:line="540" w:lineRule="exact"/>
        <w:ind w:left="319" w:firstLine="320" w:leftChars="152" w:firstLineChars="1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color w:val="auto"/>
          <w:spacing w:val="-4"/>
          <w:sz w:val="32"/>
          <w:szCs w:val="32"/>
        </w:rPr>
        <w:t>项目实施对效益的影响：</w:t>
      </w:r>
      <w:r>
        <w:rPr>
          <w:rStyle w:val="Strong"/>
          <w:rFonts w:ascii="仿宋_GB2312" w:eastAsia="仿宋_GB2312" w:hAnsi="仿宋_GB2312" w:cs="仿宋_GB2312" w:hint="eastAsia"/>
          <w:b w:val="0"/>
          <w:bCs w:val="0"/>
          <w:color w:val="auto"/>
          <w:spacing w:val="-4"/>
          <w:sz w:val="32"/>
          <w:szCs w:val="32"/>
        </w:rPr>
        <w:t>项目的实施有效提升了培训人员的绩效管理意识，持续保障了培训工作的顺利开展。</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7" w:name="_Toc27846_WPSOffice_Level1"/>
      <w:r>
        <w:rPr>
          <w:rStyle w:val="Strong"/>
          <w:rFonts w:ascii="黑体" w:eastAsia="黑体" w:hAnsi="黑体" w:cs="仿宋_GB2312" w:hint="eastAsia"/>
          <w:b w:val="0"/>
          <w:color w:val="auto"/>
          <w:spacing w:val="-4"/>
          <w:sz w:val="32"/>
          <w:szCs w:val="32"/>
        </w:rPr>
        <w:t>资产管理情况</w:t>
      </w:r>
      <w:bookmarkEnd w:id="7"/>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（一）资产管理规范性</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我单位2022年资产合计数为</w:t>
      </w:r>
      <w:r>
        <w:rPr>
          <w:rFonts w:ascii="仿宋_GB2312" w:eastAsia="仿宋_GB2312" w:hAnsi="仿宋" w:cs="宋体" w:hint="eastAsia"/>
          <w:bCs/>
          <w:color w:val="auto"/>
          <w:sz w:val="32"/>
          <w:szCs w:val="32"/>
          <w:lang w:val="en-US" w:eastAsia="zh-CN"/>
        </w:rPr>
        <w:t>361.09</w:t>
      </w:r>
      <w:r>
        <w:rPr>
          <w:rFonts w:ascii="仿宋_GB2312" w:eastAsia="仿宋_GB2312" w:hAnsi="仿宋" w:cs="宋体" w:hint="eastAsia"/>
          <w:bCs/>
          <w:color w:val="auto"/>
          <w:sz w:val="32"/>
          <w:szCs w:val="32"/>
        </w:rPr>
        <w:t>万元，比上年</w:t>
      </w:r>
      <w:r>
        <w:rPr>
          <w:rFonts w:ascii="仿宋_GB2312" w:eastAsia="仿宋_GB2312" w:hAnsi="仿宋" w:cs="宋体" w:hint="eastAsia"/>
          <w:bCs/>
          <w:color w:val="auto"/>
          <w:sz w:val="32"/>
          <w:szCs w:val="32"/>
          <w:lang w:eastAsia="zh-CN"/>
        </w:rPr>
        <w:t>增加</w:t>
      </w:r>
      <w:r>
        <w:rPr>
          <w:rFonts w:ascii="仿宋_GB2312" w:eastAsia="仿宋_GB2312" w:hAnsi="仿宋" w:cs="宋体" w:hint="eastAsia"/>
          <w:bCs/>
          <w:color w:val="auto"/>
          <w:sz w:val="32"/>
          <w:szCs w:val="32"/>
          <w:lang w:val="en-US" w:eastAsia="zh-CN"/>
        </w:rPr>
        <w:t>62.89</w:t>
      </w:r>
      <w:r>
        <w:rPr>
          <w:rFonts w:ascii="仿宋_GB2312" w:eastAsia="仿宋_GB2312" w:hAnsi="仿宋" w:cs="宋体" w:hint="eastAsia"/>
          <w:bCs/>
          <w:color w:val="auto"/>
          <w:sz w:val="32"/>
          <w:szCs w:val="32"/>
        </w:rPr>
        <w:t>万元，主要原因是</w:t>
      </w:r>
      <w:r>
        <w:rPr>
          <w:rFonts w:ascii="仿宋_GB2312" w:eastAsia="仿宋_GB2312" w:hAnsi="仿宋" w:cs="宋体" w:hint="eastAsia"/>
          <w:bCs/>
          <w:color w:val="auto"/>
          <w:sz w:val="32"/>
          <w:szCs w:val="32"/>
          <w:lang w:eastAsia="zh-CN"/>
        </w:rPr>
        <w:t>水利厅拨来水利设备资产，增加了固定资产</w:t>
      </w:r>
      <w:r>
        <w:rPr>
          <w:rFonts w:ascii="仿宋_GB2312" w:eastAsia="仿宋_GB2312" w:hAnsi="仿宋" w:cs="宋体" w:hint="eastAsia"/>
          <w:bCs/>
          <w:color w:val="auto"/>
          <w:sz w:val="32"/>
          <w:szCs w:val="32"/>
        </w:rPr>
        <w:t>，货币资金</w:t>
      </w:r>
      <w:r>
        <w:rPr>
          <w:rFonts w:ascii="仿宋_GB2312" w:eastAsia="仿宋_GB2312" w:hAnsi="仿宋" w:cs="宋体" w:hint="eastAsia"/>
          <w:bCs/>
          <w:color w:val="auto"/>
          <w:sz w:val="32"/>
          <w:szCs w:val="32"/>
          <w:lang w:eastAsia="zh-CN"/>
        </w:rPr>
        <w:t>没有发生变化</w:t>
      </w:r>
      <w:r>
        <w:rPr>
          <w:rFonts w:ascii="仿宋_GB2312" w:eastAsia="仿宋_GB2312" w:hAnsi="仿宋" w:cs="宋体" w:hint="eastAsia"/>
          <w:bCs/>
          <w:color w:val="auto"/>
          <w:sz w:val="32"/>
          <w:szCs w:val="32"/>
        </w:rPr>
        <w:t>，其中：货币资金</w:t>
      </w:r>
      <w:r>
        <w:rPr>
          <w:rFonts w:ascii="仿宋_GB2312" w:eastAsia="仿宋_GB2312" w:hAnsi="仿宋" w:cs="宋体" w:hint="eastAsia"/>
          <w:bCs/>
          <w:color w:val="auto"/>
          <w:sz w:val="32"/>
          <w:szCs w:val="32"/>
          <w:lang w:val="en-US" w:eastAsia="zh-CN"/>
        </w:rPr>
        <w:t>0.0249</w:t>
      </w:r>
      <w:r>
        <w:rPr>
          <w:rFonts w:ascii="仿宋_GB2312" w:eastAsia="仿宋_GB2312" w:hAnsi="仿宋" w:cs="宋体" w:hint="eastAsia"/>
          <w:bCs/>
          <w:color w:val="auto"/>
          <w:sz w:val="32"/>
          <w:szCs w:val="32"/>
        </w:rPr>
        <w:t>万元，比上年减少</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万元；财政应返还额度</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万元，比上年相比无变化；房屋</w:t>
      </w:r>
      <w:r>
        <w:rPr>
          <w:rFonts w:ascii="仿宋_GB2312" w:eastAsia="仿宋_GB2312" w:hAnsi="仿宋" w:cs="宋体" w:hint="eastAsia"/>
          <w:bCs/>
          <w:color w:val="auto"/>
          <w:sz w:val="32"/>
          <w:szCs w:val="32"/>
          <w:lang w:val="en-US" w:eastAsia="zh-CN"/>
        </w:rPr>
        <w:t>50</w:t>
      </w:r>
      <w:r>
        <w:rPr>
          <w:rFonts w:ascii="仿宋_GB2312" w:eastAsia="仿宋_GB2312" w:hAnsi="仿宋" w:cs="宋体" w:hint="eastAsia"/>
          <w:bCs/>
          <w:color w:val="auto"/>
          <w:sz w:val="32"/>
          <w:szCs w:val="32"/>
        </w:rPr>
        <w:t>平方米</w:t>
      </w:r>
      <w:r>
        <w:rPr>
          <w:rFonts w:ascii="仿宋_GB2312" w:eastAsia="仿宋_GB2312" w:hAnsi="仿宋" w:cs="宋体" w:hint="eastAsia"/>
          <w:bCs/>
          <w:color w:val="auto"/>
          <w:sz w:val="32"/>
          <w:szCs w:val="32"/>
          <w:lang w:val="en-US" w:eastAsia="zh-CN"/>
        </w:rPr>
        <w:t>0.3701</w:t>
      </w:r>
      <w:r>
        <w:rPr>
          <w:rFonts w:ascii="仿宋_GB2312" w:eastAsia="仿宋_GB2312" w:hAnsi="仿宋" w:cs="宋体" w:hint="eastAsia"/>
          <w:bCs/>
          <w:color w:val="auto"/>
          <w:sz w:val="32"/>
          <w:szCs w:val="32"/>
        </w:rPr>
        <w:t>万元，比上年减少</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万元；车辆</w:t>
      </w:r>
      <w:r>
        <w:rPr>
          <w:rFonts w:ascii="仿宋_GB2312" w:eastAsia="仿宋_GB2312" w:hAnsi="仿宋" w:cs="宋体" w:hint="eastAsia"/>
          <w:bCs/>
          <w:color w:val="auto"/>
          <w:sz w:val="32"/>
          <w:szCs w:val="32"/>
          <w:lang w:val="en-US" w:eastAsia="zh-CN"/>
        </w:rPr>
        <w:t>4</w:t>
      </w:r>
      <w:r>
        <w:rPr>
          <w:rFonts w:ascii="仿宋_GB2312" w:eastAsia="仿宋_GB2312" w:hAnsi="仿宋" w:cs="宋体" w:hint="eastAsia"/>
          <w:bCs/>
          <w:color w:val="auto"/>
          <w:sz w:val="32"/>
          <w:szCs w:val="32"/>
        </w:rPr>
        <w:t>辆</w:t>
      </w:r>
      <w:r>
        <w:rPr>
          <w:rFonts w:ascii="仿宋_GB2312" w:eastAsia="仿宋_GB2312" w:hAnsi="仿宋" w:cs="宋体" w:hint="eastAsia"/>
          <w:bCs/>
          <w:color w:val="auto"/>
          <w:sz w:val="32"/>
          <w:szCs w:val="32"/>
          <w:lang w:val="en-US" w:eastAsia="zh-CN"/>
        </w:rPr>
        <w:t>44.285</w:t>
      </w:r>
      <w:r>
        <w:rPr>
          <w:rFonts w:ascii="仿宋_GB2312" w:eastAsia="仿宋_GB2312" w:hAnsi="仿宋" w:cs="宋体" w:hint="eastAsia"/>
          <w:bCs/>
          <w:color w:val="auto"/>
          <w:sz w:val="32"/>
          <w:szCs w:val="32"/>
        </w:rPr>
        <w:t>万元，与上年相比无变化；在建工程</w:t>
      </w:r>
      <w:r>
        <w:rPr>
          <w:rFonts w:ascii="仿宋_GB2312" w:eastAsia="仿宋_GB2312" w:hAnsi="仿宋" w:cs="宋体" w:hint="eastAsia"/>
          <w:bCs/>
          <w:color w:val="auto"/>
          <w:sz w:val="32"/>
          <w:szCs w:val="32"/>
          <w:lang w:val="en-US" w:eastAsia="zh-CN"/>
        </w:rPr>
        <w:t>0</w:t>
      </w:r>
      <w:r>
        <w:rPr>
          <w:rFonts w:ascii="仿宋_GB2312" w:eastAsia="仿宋_GB2312" w:hAnsi="仿宋" w:cs="宋体" w:hint="eastAsia"/>
          <w:bCs/>
          <w:color w:val="auto"/>
          <w:sz w:val="32"/>
          <w:szCs w:val="32"/>
        </w:rPr>
        <w:t>万元，与上年持平；办公设备及家具</w:t>
      </w:r>
      <w:r>
        <w:rPr>
          <w:rFonts w:ascii="仿宋_GB2312" w:eastAsia="仿宋_GB2312" w:hAnsi="仿宋" w:cs="宋体" w:hint="eastAsia"/>
          <w:bCs/>
          <w:color w:val="auto"/>
          <w:sz w:val="32"/>
          <w:szCs w:val="32"/>
          <w:lang w:val="en-US" w:eastAsia="zh-CN"/>
        </w:rPr>
        <w:t>1.56</w:t>
      </w:r>
      <w:r>
        <w:rPr>
          <w:rFonts w:ascii="仿宋_GB2312" w:eastAsia="仿宋_GB2312" w:hAnsi="仿宋" w:cs="宋体" w:hint="eastAsia"/>
          <w:bCs/>
          <w:color w:val="auto"/>
          <w:sz w:val="32"/>
          <w:szCs w:val="32"/>
        </w:rPr>
        <w:t>万元，与上年相比无变化。我单位本年无资产处置情况，资产配置合理，使用规范，安全完整。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32"/>
          <w:szCs w:val="32"/>
        </w:rPr>
      </w:pPr>
      <w:r>
        <w:rPr>
          <w:rFonts w:ascii="仿宋_GB2312" w:eastAsia="仿宋_GB2312" w:hAnsi="仿宋" w:cs="宋体" w:hint="eastAsia"/>
          <w:b/>
          <w:bCs/>
          <w:color w:val="auto"/>
          <w:sz w:val="32"/>
          <w:szCs w:val="32"/>
        </w:rPr>
        <w:t>1.资产管理情况。</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32"/>
          <w:szCs w:val="32"/>
        </w:rPr>
      </w:pPr>
      <w:r>
        <w:rPr>
          <w:rFonts w:ascii="仿宋_GB2312" w:eastAsia="仿宋_GB2312" w:hAnsi="仿宋" w:cs="宋体" w:hint="eastAsia"/>
          <w:b/>
          <w:bCs/>
          <w:color w:val="auto"/>
          <w:sz w:val="32"/>
          <w:szCs w:val="32"/>
        </w:rPr>
        <w:t>2.固定资产利用情况。</w:t>
      </w:r>
    </w:p>
    <w:p>
      <w:pPr>
        <w:pStyle w:val="ListParagraph"/>
        <w:snapToGrid w:val="0"/>
        <w:spacing w:line="540" w:lineRule="exact"/>
        <w:ind w:firstLine="640"/>
        <w:rPr>
          <w:rFonts w:ascii="仿宋_GB2312" w:eastAsia="仿宋_GB2312" w:hAnsi="仿宋" w:cs="宋体"/>
          <w:bCs/>
          <w:color w:val="auto"/>
          <w:sz w:val="32"/>
          <w:szCs w:val="32"/>
        </w:rPr>
      </w:pPr>
      <w:r>
        <w:rPr>
          <w:rFonts w:ascii="仿宋_GB2312" w:eastAsia="仿宋_GB2312" w:hAnsi="仿宋" w:cs="宋体" w:hint="eastAsia"/>
          <w:bCs/>
          <w:color w:val="auto"/>
          <w:sz w:val="32"/>
          <w:szCs w:val="32"/>
        </w:rPr>
        <w:t>我单位固定资产</w:t>
      </w:r>
      <w:r>
        <w:rPr>
          <w:rFonts w:ascii="仿宋_GB2312" w:eastAsia="仿宋_GB2312" w:hAnsi="仿宋" w:cs="宋体" w:hint="eastAsia"/>
          <w:bCs/>
          <w:color w:val="auto"/>
          <w:sz w:val="32"/>
          <w:szCs w:val="32"/>
          <w:lang w:val="en-US" w:eastAsia="zh-CN"/>
        </w:rPr>
        <w:t>262.37</w:t>
      </w:r>
      <w:r>
        <w:rPr>
          <w:rFonts w:ascii="仿宋_GB2312" w:eastAsia="仿宋_GB2312" w:hAnsi="仿宋" w:cs="宋体" w:hint="eastAsia"/>
          <w:bCs/>
          <w:color w:val="auto"/>
          <w:sz w:val="32"/>
          <w:szCs w:val="32"/>
        </w:rPr>
        <w:t>万元,其中:</w:t>
      </w:r>
      <w:r>
        <w:rPr>
          <w:rFonts w:ascii="仿宋_GB2312" w:eastAsia="仿宋_GB2312" w:hAnsi="仿宋" w:cs="宋体" w:hint="eastAsia"/>
          <w:bCs/>
          <w:color w:val="auto"/>
          <w:sz w:val="32"/>
          <w:szCs w:val="32"/>
          <w:lang w:val="en-US" w:eastAsia="zh-CN"/>
        </w:rPr>
        <w:t>1</w:t>
      </w:r>
      <w:r>
        <w:rPr>
          <w:rFonts w:ascii="仿宋_GB2312" w:eastAsia="仿宋_GB2312" w:hAnsi="仿宋" w:cs="宋体" w:hint="eastAsia"/>
          <w:bCs/>
          <w:color w:val="auto"/>
          <w:sz w:val="32"/>
          <w:szCs w:val="32"/>
        </w:rPr>
        <w:t>套房屋</w:t>
      </w:r>
      <w:r>
        <w:rPr>
          <w:rFonts w:ascii="仿宋_GB2312" w:eastAsia="仿宋_GB2312" w:hAnsi="仿宋" w:cs="宋体" w:hint="eastAsia"/>
          <w:bCs/>
          <w:color w:val="auto"/>
          <w:sz w:val="32"/>
          <w:szCs w:val="32"/>
          <w:lang w:val="en-US" w:eastAsia="zh-CN"/>
        </w:rPr>
        <w:t>0.3701</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lang w:val="en-US" w:eastAsia="zh-CN"/>
        </w:rPr>
        <w:t>4</w:t>
      </w:r>
      <w:r>
        <w:rPr>
          <w:rFonts w:ascii="仿宋_GB2312" w:eastAsia="仿宋_GB2312" w:hAnsi="仿宋" w:cs="宋体" w:hint="eastAsia"/>
          <w:bCs/>
          <w:color w:val="auto"/>
          <w:sz w:val="32"/>
          <w:szCs w:val="32"/>
        </w:rPr>
        <w:t>辆车</w:t>
      </w:r>
      <w:r>
        <w:rPr>
          <w:rFonts w:ascii="仿宋_GB2312" w:eastAsia="仿宋_GB2312" w:hAnsi="仿宋" w:cs="宋体" w:hint="eastAsia"/>
          <w:bCs/>
          <w:color w:val="auto"/>
          <w:sz w:val="32"/>
          <w:szCs w:val="32"/>
          <w:lang w:val="en-US" w:eastAsia="zh-CN"/>
        </w:rPr>
        <w:t>44.285</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lang w:val="en-US" w:eastAsia="zh-CN"/>
        </w:rPr>
        <w:t>11</w:t>
      </w:r>
      <w:r>
        <w:rPr>
          <w:rFonts w:ascii="仿宋_GB2312" w:eastAsia="仿宋_GB2312" w:hAnsi="仿宋" w:cs="宋体" w:hint="eastAsia"/>
          <w:bCs/>
          <w:color w:val="auto"/>
          <w:sz w:val="32"/>
          <w:szCs w:val="32"/>
        </w:rPr>
        <w:t>个专用设备</w:t>
      </w:r>
      <w:r>
        <w:rPr>
          <w:rFonts w:ascii="仿宋_GB2312" w:eastAsia="仿宋_GB2312" w:hAnsi="仿宋" w:cs="宋体" w:hint="eastAsia"/>
          <w:bCs/>
          <w:color w:val="auto"/>
          <w:sz w:val="32"/>
          <w:szCs w:val="32"/>
          <w:lang w:val="en-US" w:eastAsia="zh-CN"/>
        </w:rPr>
        <w:t>10.7055</w:t>
      </w:r>
      <w:r>
        <w:rPr>
          <w:rFonts w:ascii="仿宋_GB2312" w:eastAsia="仿宋_GB2312" w:hAnsi="仿宋" w:cs="宋体" w:hint="eastAsia"/>
          <w:bCs/>
          <w:color w:val="auto"/>
          <w:sz w:val="32"/>
          <w:szCs w:val="32"/>
        </w:rPr>
        <w:t>万元，</w:t>
      </w:r>
      <w:r>
        <w:rPr>
          <w:rFonts w:ascii="仿宋_GB2312" w:eastAsia="仿宋_GB2312" w:hAnsi="仿宋" w:cs="宋体" w:hint="eastAsia"/>
          <w:bCs/>
          <w:color w:val="auto"/>
          <w:sz w:val="32"/>
          <w:szCs w:val="32"/>
          <w:lang w:val="en-US" w:eastAsia="zh-CN"/>
        </w:rPr>
        <w:t>13</w:t>
      </w:r>
      <w:r>
        <w:rPr>
          <w:rFonts w:ascii="仿宋_GB2312" w:eastAsia="仿宋_GB2312" w:hAnsi="仿宋" w:cs="宋体" w:hint="eastAsia"/>
          <w:bCs/>
          <w:color w:val="auto"/>
          <w:sz w:val="32"/>
          <w:szCs w:val="32"/>
        </w:rPr>
        <w:t>个办公设备</w:t>
      </w:r>
      <w:r>
        <w:rPr>
          <w:rFonts w:ascii="仿宋_GB2312" w:eastAsia="仿宋_GB2312" w:hAnsi="仿宋" w:cs="宋体" w:hint="eastAsia"/>
          <w:bCs/>
          <w:color w:val="auto"/>
          <w:sz w:val="32"/>
          <w:szCs w:val="32"/>
          <w:lang w:val="en-US" w:eastAsia="zh-CN"/>
        </w:rPr>
        <w:t>10.685</w:t>
      </w:r>
      <w:r>
        <w:rPr>
          <w:rFonts w:ascii="仿宋_GB2312" w:eastAsia="仿宋_GB2312" w:hAnsi="仿宋" w:cs="宋体" w:hint="eastAsia"/>
          <w:bCs/>
          <w:color w:val="auto"/>
          <w:sz w:val="32"/>
          <w:szCs w:val="32"/>
        </w:rPr>
        <w:t>万元。目前正在使用的固定资产总额</w:t>
      </w:r>
      <w:r>
        <w:rPr>
          <w:rFonts w:ascii="仿宋_GB2312" w:eastAsia="仿宋_GB2312" w:hAnsi="仿宋" w:cs="宋体" w:hint="eastAsia"/>
          <w:bCs/>
          <w:color w:val="auto"/>
          <w:sz w:val="32"/>
          <w:szCs w:val="32"/>
          <w:lang w:val="en-US" w:eastAsia="zh-CN"/>
        </w:rPr>
        <w:t>262.37</w:t>
      </w:r>
      <w:r>
        <w:rPr>
          <w:rFonts w:ascii="仿宋_GB2312" w:eastAsia="仿宋_GB2312" w:hAnsi="仿宋" w:cs="宋体" w:hint="eastAsia"/>
          <w:bCs/>
          <w:color w:val="auto"/>
          <w:sz w:val="32"/>
          <w:szCs w:val="32"/>
        </w:rPr>
        <w:t>万元，固定资产利用率为</w:t>
      </w:r>
      <w:r>
        <w:rPr>
          <w:rFonts w:ascii="仿宋_GB2312" w:eastAsia="仿宋_GB2312" w:hAnsi="仿宋" w:cs="宋体" w:hint="eastAsia"/>
          <w:bCs/>
          <w:color w:val="auto"/>
          <w:sz w:val="32"/>
          <w:szCs w:val="32"/>
          <w:lang w:val="en-US" w:eastAsia="zh-CN"/>
        </w:rPr>
        <w:t>100</w:t>
      </w:r>
      <w:r>
        <w:rPr>
          <w:rFonts w:ascii="仿宋_GB2312" w:eastAsia="仿宋_GB2312" w:hAnsi="仿宋" w:cs="宋体"/>
          <w:bCs/>
          <w:color w:val="auto"/>
          <w:sz w:val="32"/>
          <w:szCs w:val="32"/>
        </w:rPr>
        <w:t>%</w:t>
      </w:r>
      <w:r>
        <w:rPr>
          <w:rFonts w:ascii="仿宋_GB2312" w:eastAsia="仿宋_GB2312" w:hAnsi="仿宋" w:cs="宋体" w:hint="eastAsia"/>
          <w:bCs/>
          <w:color w:val="auto"/>
          <w:sz w:val="32"/>
          <w:szCs w:val="32"/>
        </w:rPr>
        <w:t>。</w:t>
      </w:r>
    </w:p>
    <w:p>
      <w:pPr>
        <w:pStyle w:val="ListParagraph"/>
        <w:snapToGrid w:val="0"/>
        <w:spacing w:line="540" w:lineRule="exact"/>
        <w:ind w:firstLine="627"/>
        <w:rPr>
          <w:rStyle w:val="Strong"/>
          <w:rFonts w:ascii="仿宋_GB2312" w:eastAsia="仿宋_GB2312" w:hAnsi="仿宋"/>
          <w:bCs w:val="0"/>
          <w:color w:val="auto"/>
          <w:spacing w:val="-4"/>
          <w:sz w:val="32"/>
          <w:szCs w:val="32"/>
        </w:rPr>
      </w:pPr>
      <w:r>
        <w:rPr>
          <w:rStyle w:val="Strong"/>
          <w:rFonts w:ascii="仿宋_GB2312" w:eastAsia="仿宋_GB2312" w:hAnsi="仿宋" w:hint="eastAsia"/>
          <w:bCs w:val="0"/>
          <w:color w:val="auto"/>
          <w:spacing w:val="-4"/>
          <w:sz w:val="32"/>
          <w:szCs w:val="32"/>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 w:hint="eastAsia"/>
          <w:b w:val="0"/>
          <w:bCs w:val="0"/>
          <w:color w:val="auto"/>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截止本年度固定资产账面净值</w:t>
      </w:r>
      <w:r>
        <w:rPr>
          <w:rStyle w:val="Strong"/>
          <w:rFonts w:ascii="仿宋_GB2312" w:eastAsia="仿宋_GB2312" w:hAnsi="仿宋_GB2312" w:cs="仿宋_GB2312" w:hint="eastAsia"/>
          <w:b w:val="0"/>
          <w:bCs w:val="0"/>
          <w:color w:val="auto"/>
          <w:spacing w:val="-4"/>
          <w:sz w:val="32"/>
          <w:szCs w:val="32"/>
          <w:lang w:val="en-US" w:eastAsia="zh-CN"/>
        </w:rPr>
        <w:t>165.5283</w:t>
      </w:r>
      <w:r>
        <w:rPr>
          <w:rStyle w:val="Strong"/>
          <w:rFonts w:ascii="仿宋_GB2312" w:eastAsia="仿宋_GB2312" w:hAnsi="仿宋_GB2312" w:cs="仿宋_GB2312" w:hint="eastAsia"/>
          <w:b w:val="0"/>
          <w:bCs w:val="0"/>
          <w:color w:val="auto"/>
          <w:spacing w:val="-4"/>
          <w:sz w:val="32"/>
          <w:szCs w:val="32"/>
        </w:rPr>
        <w:t>万元，年末实际在用固定资产</w:t>
      </w:r>
      <w:r>
        <w:rPr>
          <w:rStyle w:val="Strong"/>
          <w:rFonts w:ascii="仿宋_GB2312" w:eastAsia="仿宋_GB2312" w:hAnsi="仿宋_GB2312" w:cs="仿宋_GB2312" w:hint="eastAsia"/>
          <w:b w:val="0"/>
          <w:bCs w:val="0"/>
          <w:color w:val="auto"/>
          <w:spacing w:val="-4"/>
          <w:sz w:val="32"/>
          <w:szCs w:val="32"/>
          <w:lang w:val="en-US" w:eastAsia="zh-CN"/>
        </w:rPr>
        <w:t>165.5283</w:t>
      </w:r>
      <w:r>
        <w:rPr>
          <w:rStyle w:val="Strong"/>
          <w:rFonts w:ascii="仿宋_GB2312" w:eastAsia="仿宋_GB2312" w:hAnsi="仿宋_GB2312" w:cs="仿宋_GB2312" w:hint="eastAsia"/>
          <w:b w:val="0"/>
          <w:bCs w:val="0"/>
          <w:color w:val="auto"/>
          <w:spacing w:val="-4"/>
          <w:sz w:val="32"/>
          <w:szCs w:val="32"/>
        </w:rPr>
        <w:t>万元，固定资产利用率为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8" w:name="_Toc13582_WPSOffice_Level1"/>
      <w:r>
        <w:rPr>
          <w:rStyle w:val="Strong"/>
          <w:rFonts w:ascii="黑体" w:eastAsia="黑体" w:hAnsi="黑体" w:cs="仿宋_GB2312" w:hint="eastAsia"/>
          <w:b w:val="0"/>
          <w:color w:val="auto"/>
          <w:spacing w:val="-4"/>
          <w:sz w:val="32"/>
          <w:szCs w:val="32"/>
        </w:rPr>
        <w:t>部门单位整体支出绩效情况</w:t>
      </w:r>
      <w:bookmarkEnd w:id="8"/>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部门单位整体支出自评表，共设置一级指标3个，二级指标</w:t>
      </w:r>
      <w:r>
        <w:rPr>
          <w:rStyle w:val="Strong"/>
          <w:rFonts w:ascii="仿宋_GB2312" w:eastAsia="仿宋_GB2312" w:hAnsi="仿宋_GB2312" w:cs="仿宋_GB2312" w:hint="eastAsia"/>
          <w:b w:val="0"/>
          <w:bCs w:val="0"/>
          <w:color w:val="auto"/>
          <w:spacing w:val="-4"/>
          <w:sz w:val="32"/>
          <w:szCs w:val="32"/>
          <w:lang w:val="en-US" w:eastAsia="zh-CN"/>
        </w:rPr>
        <w:t>7</w:t>
      </w:r>
      <w:r>
        <w:rPr>
          <w:rStyle w:val="Strong"/>
          <w:rFonts w:ascii="仿宋_GB2312" w:eastAsia="仿宋_GB2312" w:hAnsi="仿宋_GB2312" w:cs="仿宋_GB2312" w:hint="eastAsia"/>
          <w:b w:val="0"/>
          <w:bCs w:val="0"/>
          <w:color w:val="auto"/>
          <w:spacing w:val="-4"/>
          <w:sz w:val="32"/>
          <w:szCs w:val="32"/>
        </w:rPr>
        <w:t>个，三级指标</w:t>
      </w:r>
      <w:r>
        <w:rPr>
          <w:rStyle w:val="Strong"/>
          <w:rFonts w:ascii="仿宋_GB2312" w:eastAsia="仿宋_GB2312" w:hAnsi="仿宋_GB2312" w:cs="仿宋_GB2312" w:hint="eastAsia"/>
          <w:b w:val="0"/>
          <w:bCs w:val="0"/>
          <w:color w:val="auto"/>
          <w:spacing w:val="-4"/>
          <w:sz w:val="32"/>
          <w:szCs w:val="32"/>
          <w:lang w:val="en-US" w:eastAsia="zh-CN"/>
        </w:rPr>
        <w:t>10</w:t>
      </w:r>
      <w:r>
        <w:rPr>
          <w:rStyle w:val="Strong"/>
          <w:rFonts w:ascii="仿宋_GB2312" w:eastAsia="仿宋_GB2312" w:hAnsi="仿宋_GB2312" w:cs="仿宋_GB2312" w:hint="eastAsia"/>
          <w:b w:val="0"/>
          <w:bCs w:val="0"/>
          <w:color w:val="auto"/>
          <w:spacing w:val="-4"/>
          <w:sz w:val="32"/>
          <w:szCs w:val="32"/>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保障在职员工人数</w:t>
      </w:r>
      <w:r>
        <w:rPr>
          <w:rStyle w:val="Strong"/>
          <w:rFonts w:ascii="仿宋_GB2312" w:eastAsia="仿宋_GB2312" w:hAnsi="仿宋_GB2312" w:cs="仿宋_GB2312" w:hint="eastAsia"/>
          <w:b w:val="0"/>
          <w:bCs w:val="0"/>
          <w:color w:val="auto"/>
          <w:spacing w:val="-4"/>
          <w:sz w:val="32"/>
          <w:szCs w:val="32"/>
        </w:rPr>
        <w:t>”指标，预期指标值为“</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159人</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157人</w:t>
      </w:r>
      <w:r>
        <w:rPr>
          <w:rStyle w:val="Strong"/>
          <w:rFonts w:ascii="仿宋_GB2312" w:eastAsia="仿宋_GB2312" w:hAnsi="仿宋_GB2312" w:cs="仿宋_GB2312" w:hint="eastAsia"/>
          <w:b w:val="0"/>
          <w:bCs w:val="0"/>
          <w:color w:val="auto"/>
          <w:spacing w:val="-4"/>
          <w:sz w:val="32"/>
          <w:szCs w:val="32"/>
        </w:rPr>
        <w:t>”，指标完成率是</w:t>
      </w:r>
      <w:r>
        <w:rPr>
          <w:rFonts w:ascii="仿宋_GB2312" w:eastAsia="仿宋_GB2312" w:hAnsi="仿宋" w:cs="宋体" w:hint="eastAsia"/>
          <w:bCs/>
          <w:color w:val="auto"/>
          <w:sz w:val="32"/>
          <w:szCs w:val="32"/>
          <w:lang w:val="en-US" w:eastAsia="zh-CN"/>
        </w:rPr>
        <w:t>98.7</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lang w:eastAsia="zh-CN"/>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资金使用合规率</w:t>
      </w:r>
      <w:r>
        <w:rPr>
          <w:rStyle w:val="Strong"/>
          <w:rFonts w:ascii="仿宋_GB2312" w:eastAsia="仿宋_GB2312" w:hAnsi="仿宋_GB2312" w:cs="仿宋_GB2312" w:hint="eastAsia"/>
          <w:b w:val="0"/>
          <w:bCs w:val="0"/>
          <w:color w:val="auto"/>
          <w:spacing w:val="-4"/>
          <w:sz w:val="32"/>
          <w:szCs w:val="32"/>
        </w:rPr>
        <w:t>”预期指标是</w:t>
      </w:r>
      <w:r>
        <w:rPr>
          <w:rStyle w:val="Strong"/>
          <w:rFonts w:ascii="仿宋_GB2312" w:eastAsia="仿宋_GB2312" w:hAnsi="仿宋_GB2312" w:cs="仿宋_GB2312" w:hint="eastAsia"/>
          <w:b w:val="0"/>
          <w:bCs w:val="0"/>
          <w:color w:val="auto"/>
          <w:spacing w:val="-4"/>
          <w:sz w:val="32"/>
          <w:szCs w:val="32"/>
          <w:lang w:eastAsia="zh-CN"/>
        </w:rPr>
        <w:t>“</w:t>
      </w:r>
      <w:r>
        <w:rPr>
          <w:rStyle w:val="Strong"/>
          <w:rFonts w:ascii="Arial" w:eastAsia="仿宋_GB2312" w:hAnsi="Arial" w:cs="Arial" w:hint="default"/>
          <w:b w:val="0"/>
          <w:bCs w:val="0"/>
          <w:color w:val="auto"/>
          <w:spacing w:val="-4"/>
          <w:sz w:val="32"/>
          <w:szCs w:val="32"/>
        </w:rPr>
        <w:t>≥</w:t>
      </w:r>
      <w:r>
        <w:rPr>
          <w:rFonts w:ascii="仿宋_GB2312" w:eastAsia="仿宋_GB2312" w:hAnsi="仿宋" w:cs="宋体" w:hint="eastAsia"/>
          <w:bCs/>
          <w:color w:val="auto"/>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r>
        <w:rPr>
          <w:rStyle w:val="Strong"/>
          <w:rFonts w:ascii="仿宋_GB2312" w:eastAsia="仿宋_GB2312" w:hAnsi="仿宋_GB2312" w:cs="仿宋_GB2312" w:hint="eastAsia"/>
          <w:b w:val="0"/>
          <w:bCs w:val="0"/>
          <w:color w:val="auto"/>
          <w:spacing w:val="-4"/>
          <w:sz w:val="32"/>
          <w:szCs w:val="32"/>
          <w:lang w:eastAsia="zh-CN"/>
        </w:rPr>
        <w:t>。</w:t>
      </w:r>
    </w:p>
    <w:p>
      <w:pPr>
        <w:pStyle w:val="ListParagraph"/>
        <w:snapToGrid w:val="0"/>
        <w:spacing w:line="540" w:lineRule="exact"/>
        <w:ind w:left="0" w:firstLine="640" w:leftChars="0" w:firstLineChars="200"/>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资金发放及时率</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%，达到预期目标。</w:t>
      </w:r>
    </w:p>
    <w:p>
      <w:pPr>
        <w:pStyle w:val="ListParagraph"/>
        <w:snapToGrid w:val="0"/>
        <w:spacing w:line="540" w:lineRule="exact"/>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项目支出</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仿宋_GB2312" w:eastAsia="仿宋_GB2312" w:hAnsi="仿宋_GB2312" w:cs="仿宋_GB2312" w:hint="eastAsia"/>
          <w:b w:val="0"/>
          <w:bCs w:val="0"/>
          <w:color w:val="auto"/>
          <w:spacing w:val="-4"/>
          <w:sz w:val="32"/>
          <w:szCs w:val="32"/>
          <w:lang w:val="en-US" w:eastAsia="zh-CN"/>
        </w:rPr>
        <w:t>=1730.66万元</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1730.66</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运转保障支出成本</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216.47</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35.44</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16.37</w:t>
      </w: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主要原因是受当地财力限制，经费压缩</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人员保障支出成本</w:t>
      </w:r>
      <w:r>
        <w:rPr>
          <w:rStyle w:val="Strong"/>
          <w:rFonts w:ascii="仿宋_GB2312" w:eastAsia="仿宋_GB2312" w:hAnsi="仿宋_GB2312" w:cs="仿宋_GB2312" w:hint="eastAsia"/>
          <w:b w:val="0"/>
          <w:bCs w:val="0"/>
          <w:color w:val="auto"/>
          <w:spacing w:val="-4"/>
          <w:sz w:val="32"/>
          <w:szCs w:val="32"/>
        </w:rPr>
        <w:t>”指标，预期指标是</w:t>
      </w:r>
      <w:r>
        <w:rPr>
          <w:rStyle w:val="Strong"/>
          <w:rFonts w:ascii="Arial" w:eastAsia="仿宋_GB2312" w:hAnsi="Arial" w:cs="Arial" w:hint="default"/>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val="en-US" w:eastAsia="zh-CN"/>
        </w:rPr>
        <w:t>1951.01</w:t>
      </w:r>
      <w:r>
        <w:rPr>
          <w:rStyle w:val="Strong"/>
          <w:rFonts w:ascii="仿宋_GB2312" w:eastAsia="仿宋_GB2312" w:hAnsi="仿宋_GB2312" w:cs="仿宋_GB2312" w:hint="eastAsia"/>
          <w:b w:val="0"/>
          <w:bCs w:val="0"/>
          <w:color w:val="auto"/>
          <w:spacing w:val="-4"/>
          <w:sz w:val="32"/>
          <w:szCs w:val="32"/>
        </w:rPr>
        <w:t>万元，实际完成值是</w:t>
      </w:r>
      <w:r>
        <w:rPr>
          <w:rStyle w:val="Strong"/>
          <w:rFonts w:ascii="仿宋_GB2312" w:eastAsia="仿宋_GB2312" w:hAnsi="仿宋_GB2312" w:cs="仿宋_GB2312" w:hint="eastAsia"/>
          <w:b w:val="0"/>
          <w:bCs w:val="0"/>
          <w:color w:val="auto"/>
          <w:spacing w:val="-4"/>
          <w:sz w:val="32"/>
          <w:szCs w:val="32"/>
          <w:lang w:val="en-US" w:eastAsia="zh-CN"/>
        </w:rPr>
        <w:t>1951.01</w:t>
      </w:r>
      <w:r>
        <w:rPr>
          <w:rStyle w:val="Strong"/>
          <w:rFonts w:ascii="仿宋_GB2312" w:eastAsia="仿宋_GB2312" w:hAnsi="仿宋_GB2312" w:cs="仿宋_GB2312" w:hint="eastAsia"/>
          <w:b w:val="0"/>
          <w:bCs w:val="0"/>
          <w:color w:val="auto"/>
          <w:spacing w:val="-4"/>
          <w:sz w:val="32"/>
          <w:szCs w:val="32"/>
        </w:rPr>
        <w:t>万元，指标完成率是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%，达到成本控制及改善目标。</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成本指标共计</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lang w:val="en-US" w:eastAsia="zh-CN"/>
        </w:rPr>
        <w:t>1</w:t>
      </w:r>
      <w:r>
        <w:rPr>
          <w:rStyle w:val="Strong"/>
          <w:rFonts w:ascii="仿宋_GB2312" w:eastAsia="仿宋_GB2312" w:hAnsi="仿宋_GB2312" w:cs="仿宋_GB2312" w:hint="eastAsia"/>
          <w:color w:val="auto"/>
          <w:spacing w:val="-4"/>
          <w:sz w:val="32"/>
          <w:szCs w:val="32"/>
        </w:rPr>
        <w:t>.项目实施的社会效益分析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提高单位人员工作成就感</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有效提升</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b w:val="0"/>
          <w:bCs w:val="0"/>
          <w:color w:val="auto"/>
          <w:spacing w:val="-4"/>
          <w:sz w:val="32"/>
          <w:szCs w:val="32"/>
        </w:rPr>
        <w:t>社会效益指标共计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个，达到单位履职能力对社会带来的影响预期目标，社会效益指标</w:t>
      </w:r>
      <w:r>
        <w:rPr>
          <w:rStyle w:val="Strong"/>
          <w:rFonts w:ascii="仿宋_GB2312" w:eastAsia="仿宋_GB2312" w:hAnsi="仿宋_GB2312" w:cs="仿宋_GB2312" w:hint="eastAsia"/>
          <w:b w:val="0"/>
          <w:bCs w:val="0"/>
          <w:color w:val="auto"/>
          <w:spacing w:val="-4"/>
          <w:sz w:val="32"/>
          <w:szCs w:val="32"/>
          <w:lang w:eastAsia="zh-CN"/>
        </w:rPr>
        <w:t>完成</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32"/>
          <w:szCs w:val="32"/>
        </w:rPr>
      </w:pPr>
      <w:r>
        <w:rPr>
          <w:rStyle w:val="Strong"/>
          <w:rFonts w:ascii="仿宋_GB2312" w:eastAsia="仿宋_GB2312" w:hAnsi="仿宋_GB2312" w:cs="仿宋_GB2312" w:hint="eastAsia"/>
          <w:color w:val="auto"/>
          <w:spacing w:val="-4"/>
          <w:sz w:val="32"/>
          <w:szCs w:val="32"/>
          <w:lang w:val="en-US" w:eastAsia="zh-CN"/>
        </w:rPr>
        <w:t>2</w:t>
      </w:r>
      <w:r>
        <w:rPr>
          <w:rStyle w:val="Strong"/>
          <w:rFonts w:ascii="仿宋_GB2312" w:eastAsia="仿宋_GB2312" w:hAnsi="仿宋_GB2312" w:cs="仿宋_GB2312" w:hint="eastAsia"/>
          <w:color w:val="auto"/>
          <w:spacing w:val="-4"/>
          <w:sz w:val="32"/>
          <w:szCs w:val="32"/>
        </w:rPr>
        <w:t>.项目实施的可持续影响分析</w:t>
      </w:r>
      <w:r>
        <w:rPr>
          <w:rStyle w:val="Strong"/>
          <w:rFonts w:ascii="仿宋_GB2312" w:eastAsia="仿宋_GB2312" w:hAnsi="仿宋_GB2312" w:cs="仿宋_GB2312" w:hint="eastAsia"/>
          <w:color w:val="auto"/>
          <w:spacing w:val="-4"/>
          <w:sz w:val="32"/>
          <w:szCs w:val="32"/>
          <w:lang w:eastAsia="zh-CN"/>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保障水利事业稳步发展</w:t>
      </w:r>
      <w:r>
        <w:rPr>
          <w:rStyle w:val="Strong"/>
          <w:rFonts w:ascii="仿宋_GB2312" w:eastAsia="仿宋_GB2312" w:hAnsi="仿宋_GB2312" w:cs="仿宋_GB2312" w:hint="eastAsia"/>
          <w:b w:val="0"/>
          <w:bCs w:val="0"/>
          <w:color w:val="auto"/>
          <w:spacing w:val="-4"/>
          <w:sz w:val="32"/>
          <w:szCs w:val="32"/>
        </w:rPr>
        <w:t>”指标；预</w:t>
      </w:r>
      <w:r>
        <w:rPr>
          <w:rStyle w:val="Strong"/>
          <w:rFonts w:ascii="仿宋_GB2312" w:eastAsia="仿宋_GB2312" w:hAnsi="仿宋_GB2312" w:cs="仿宋_GB2312"/>
          <w:b w:val="0"/>
          <w:bCs w:val="0"/>
          <w:color w:val="auto"/>
          <w:spacing w:val="-4"/>
          <w:sz w:val="32"/>
          <w:szCs w:val="32"/>
        </w:rPr>
        <w:t>期</w:t>
      </w:r>
      <w:r>
        <w:rPr>
          <w:rStyle w:val="Strong"/>
          <w:rFonts w:ascii="仿宋_GB2312" w:eastAsia="仿宋_GB2312" w:hAnsi="仿宋_GB2312" w:cs="仿宋_GB2312" w:hint="eastAsia"/>
          <w:b w:val="0"/>
          <w:bCs w:val="0"/>
          <w:color w:val="auto"/>
          <w:spacing w:val="-4"/>
          <w:sz w:val="32"/>
          <w:szCs w:val="32"/>
        </w:rPr>
        <w:t>指标值：</w:t>
      </w:r>
      <w:r>
        <w:rPr>
          <w:rStyle w:val="Strong"/>
          <w:rFonts w:ascii="仿宋_GB2312" w:eastAsia="仿宋_GB2312" w:hAnsi="仿宋_GB2312" w:cs="仿宋_GB2312" w:hint="eastAsia"/>
          <w:b w:val="0"/>
          <w:bCs w:val="0"/>
          <w:color w:val="auto"/>
          <w:spacing w:val="-4"/>
          <w:sz w:val="32"/>
          <w:szCs w:val="32"/>
          <w:lang w:eastAsia="zh-CN"/>
        </w:rPr>
        <w:t>有效提升</w:t>
      </w:r>
      <w:r>
        <w:rPr>
          <w:rStyle w:val="Strong"/>
          <w:rFonts w:ascii="仿宋_GB2312" w:eastAsia="仿宋_GB2312" w:hAnsi="仿宋_GB2312" w:cs="仿宋_GB2312" w:hint="eastAsia"/>
          <w:b w:val="0"/>
          <w:bCs w:val="0"/>
          <w:color w:val="auto"/>
          <w:spacing w:val="-4"/>
          <w:sz w:val="32"/>
          <w:szCs w:val="32"/>
        </w:rPr>
        <w:t>；实际完成值为</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达成年度指标</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；指标完成率为</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可持续影响指标共计</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32"/>
          <w:szCs w:val="32"/>
        </w:rPr>
      </w:pPr>
      <w:r>
        <w:rPr>
          <w:rStyle w:val="Strong"/>
          <w:rFonts w:ascii="楷体_GB2312" w:eastAsia="楷体_GB2312" w:hAnsi="仿宋_GB2312" w:cs="仿宋_GB2312" w:hint="eastAsia"/>
          <w:color w:val="auto"/>
          <w:spacing w:val="-4"/>
          <w:sz w:val="32"/>
          <w:szCs w:val="32"/>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职工满意度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95</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eastAsia="zh-CN"/>
        </w:rPr>
        <w:t>水利职工</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lang w:eastAsia="zh-CN"/>
        </w:rPr>
        <w:t>受益群众满意度</w:t>
      </w:r>
      <w:r>
        <w:rPr>
          <w:rStyle w:val="Strong"/>
          <w:rFonts w:ascii="仿宋_GB2312" w:eastAsia="仿宋_GB2312" w:hAnsi="仿宋_GB2312" w:cs="仿宋_GB2312" w:hint="eastAsia"/>
          <w:b w:val="0"/>
          <w:bCs w:val="0"/>
          <w:color w:val="auto"/>
          <w:spacing w:val="-4"/>
          <w:sz w:val="32"/>
          <w:szCs w:val="32"/>
        </w:rPr>
        <w:t>”，预期指标值为“≥</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%，实际完成值是</w:t>
      </w:r>
      <w:r>
        <w:rPr>
          <w:rStyle w:val="Strong"/>
          <w:rFonts w:ascii="仿宋_GB2312" w:eastAsia="仿宋_GB2312" w:hAnsi="仿宋_GB2312" w:cs="仿宋_GB2312" w:hint="eastAsia"/>
          <w:b w:val="0"/>
          <w:bCs w:val="0"/>
          <w:color w:val="auto"/>
          <w:spacing w:val="-4"/>
          <w:sz w:val="32"/>
          <w:szCs w:val="32"/>
          <w:lang w:val="en-US" w:eastAsia="zh-CN"/>
        </w:rPr>
        <w:t>90</w:t>
      </w:r>
      <w:r>
        <w:rPr>
          <w:rStyle w:val="Strong"/>
          <w:rFonts w:ascii="仿宋_GB2312" w:eastAsia="仿宋_GB2312" w:hAnsi="仿宋_GB2312" w:cs="仿宋_GB2312" w:hint="eastAsia"/>
          <w:b w:val="0"/>
          <w:bCs w:val="0"/>
          <w:color w:val="auto"/>
          <w:spacing w:val="-4"/>
          <w:sz w:val="32"/>
          <w:szCs w:val="32"/>
        </w:rPr>
        <w:t>%，指标完成率是</w:t>
      </w:r>
      <w:r>
        <w:rPr>
          <w:rStyle w:val="Strong"/>
          <w:rFonts w:ascii="仿宋_GB2312" w:eastAsia="仿宋_GB2312" w:hAnsi="仿宋_GB2312" w:cs="仿宋_GB2312" w:hint="eastAsia"/>
          <w:b w:val="0"/>
          <w:bCs w:val="0"/>
          <w:color w:val="auto"/>
          <w:spacing w:val="-4"/>
          <w:sz w:val="32"/>
          <w:szCs w:val="32"/>
          <w:lang w:val="en-US" w:eastAsia="zh-CN"/>
        </w:rPr>
        <w:t>100</w:t>
      </w:r>
      <w:r>
        <w:rPr>
          <w:rStyle w:val="Strong"/>
          <w:rFonts w:ascii="仿宋_GB2312" w:eastAsia="仿宋_GB2312" w:hAnsi="仿宋_GB2312" w:cs="仿宋_GB2312" w:hint="eastAsia"/>
          <w:b w:val="0"/>
          <w:bCs w:val="0"/>
          <w:color w:val="auto"/>
          <w:spacing w:val="-4"/>
          <w:sz w:val="32"/>
          <w:szCs w:val="32"/>
        </w:rPr>
        <w:t>%，达到</w:t>
      </w:r>
      <w:r>
        <w:rPr>
          <w:rStyle w:val="Strong"/>
          <w:rFonts w:ascii="仿宋_GB2312" w:eastAsia="仿宋_GB2312" w:hAnsi="仿宋_GB2312" w:cs="仿宋_GB2312" w:hint="eastAsia"/>
          <w:b w:val="0"/>
          <w:bCs w:val="0"/>
          <w:color w:val="auto"/>
          <w:spacing w:val="-4"/>
          <w:sz w:val="32"/>
          <w:szCs w:val="32"/>
          <w:lang w:eastAsia="zh-CN"/>
        </w:rPr>
        <w:t>用水户</w:t>
      </w:r>
      <w:r>
        <w:rPr>
          <w:rStyle w:val="Strong"/>
          <w:rFonts w:ascii="仿宋_GB2312" w:eastAsia="仿宋_GB2312" w:hAnsi="仿宋_GB2312" w:cs="仿宋_GB2312" w:hint="eastAsia"/>
          <w:b w:val="0"/>
          <w:bCs w:val="0"/>
          <w:color w:val="auto"/>
          <w:spacing w:val="-4"/>
          <w:sz w:val="32"/>
          <w:szCs w:val="32"/>
        </w:rPr>
        <w:t>对部门履职效果的满意度。</w:t>
      </w:r>
    </w:p>
    <w:p>
      <w:pPr>
        <w:pStyle w:val="ListParagraph"/>
        <w:snapToGrid w:val="0"/>
        <w:spacing w:line="540" w:lineRule="exact"/>
        <w:ind w:left="0" w:firstLine="640" w:leftChars="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满意度指标共计</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个，完成</w:t>
      </w: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个，达到部门（单位）服务对象对部门履职效果的满意度，服务对象满意度指标完成。</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9" w:name="_Toc22800_WPSOffice_Level1"/>
      <w:r>
        <w:rPr>
          <w:rStyle w:val="Strong"/>
          <w:rFonts w:ascii="黑体" w:eastAsia="黑体" w:hAnsi="黑体" w:cs="仿宋_GB2312" w:hint="eastAsia"/>
          <w:b w:val="0"/>
          <w:color w:val="auto"/>
          <w:spacing w:val="-4"/>
          <w:sz w:val="32"/>
          <w:szCs w:val="32"/>
        </w:rPr>
        <w:t>存在的主要问题</w:t>
      </w:r>
      <w:bookmarkEnd w:id="9"/>
    </w:p>
    <w:p>
      <w:pPr>
        <w:snapToGrid w:val="0"/>
        <w:spacing w:line="540" w:lineRule="exact"/>
        <w:ind w:firstLine="640" w:firstLineChars="200"/>
        <w:rPr>
          <w:rStyle w:val="Strong"/>
          <w:rFonts w:ascii="仿宋_GB2312" w:eastAsia="仿宋_GB2312" w:hAnsi="仿宋_GB2312" w:cs="仿宋_GB2312" w:hint="eastAsia"/>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（一）</w:t>
      </w:r>
      <w:r>
        <w:rPr>
          <w:rStyle w:val="Strong"/>
          <w:rFonts w:ascii="仿宋_GB2312" w:eastAsia="仿宋_GB2312" w:hAnsi="仿宋_GB2312" w:cs="仿宋_GB2312" w:hint="eastAsia"/>
          <w:b w:val="0"/>
          <w:bCs w:val="0"/>
          <w:color w:val="auto"/>
          <w:spacing w:val="-4"/>
          <w:sz w:val="32"/>
          <w:szCs w:val="32"/>
        </w:rPr>
        <w:t>预算编制前根据年度内单位可预见的工作任务，确定了单位年度预算目标，细化了预算指标，但是在实际支付过程中，个别时候未严格按照预算指标执行。局办公室从项目实施方案、项目预算、项目建设进度、项目成本、项目验收等环节，全过程对项目进行监管，并向局主要领导报告，以推进项目建设和提高项目质量，以发挥资金使用效益。</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（二）</w:t>
      </w:r>
      <w:r>
        <w:rPr>
          <w:rStyle w:val="Strong"/>
          <w:rFonts w:ascii="仿宋_GB2312" w:eastAsia="仿宋_GB2312" w:hAnsi="仿宋_GB2312" w:cs="仿宋_GB2312" w:hint="eastAsia"/>
          <w:b w:val="0"/>
          <w:bCs w:val="0"/>
          <w:color w:val="auto"/>
          <w:spacing w:val="-4"/>
          <w:sz w:val="32"/>
          <w:szCs w:val="32"/>
        </w:rPr>
        <w:t>部分业务人员绩效管理意识有待增强，未能全面深入认识理解绩效管理工作的意义。绩效管理经验不足，预算绩效管理工作有待进一步落实。</w:t>
      </w:r>
    </w:p>
    <w:p>
      <w:pPr>
        <w:snapToGrid w:val="0"/>
        <w:spacing w:line="540" w:lineRule="exact"/>
        <w:ind w:firstLine="640" w:firstLineChars="200"/>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eastAsia="zh-CN"/>
        </w:rPr>
        <w:t>（三）</w:t>
      </w:r>
      <w:r>
        <w:rPr>
          <w:rStyle w:val="Strong"/>
          <w:rFonts w:ascii="仿宋_GB2312" w:eastAsia="仿宋_GB2312" w:hAnsi="仿宋_GB2312" w:cs="仿宋_GB2312" w:hint="eastAsia"/>
          <w:b w:val="0"/>
          <w:bCs w:val="0"/>
          <w:color w:val="auto"/>
          <w:spacing w:val="-4"/>
          <w:sz w:val="32"/>
          <w:szCs w:val="32"/>
        </w:rPr>
        <w:t>绩效指标的明确性、可衡量性、相关性还需进一步提升。预算精细化管理还需完善，预算编制管理水平仍有进一步提升的空间。</w:t>
      </w:r>
    </w:p>
    <w:p>
      <w:pPr>
        <w:pStyle w:val="ListParagraph"/>
        <w:numPr>
          <w:ilvl w:val="0"/>
          <w:numId w:val="3"/>
        </w:numPr>
        <w:snapToGrid w:val="0"/>
        <w:spacing w:line="540" w:lineRule="exact"/>
        <w:ind w:firstLineChars="0"/>
        <w:outlineLvl w:val="0"/>
        <w:rPr>
          <w:rStyle w:val="Strong"/>
          <w:rFonts w:ascii="黑体" w:eastAsia="黑体" w:hAnsi="黑体" w:cs="仿宋_GB2312"/>
          <w:b w:val="0"/>
          <w:color w:val="auto"/>
          <w:spacing w:val="-4"/>
          <w:sz w:val="32"/>
          <w:szCs w:val="32"/>
        </w:rPr>
      </w:pPr>
      <w:bookmarkStart w:id="10" w:name="_Toc29546_WPSOffice_Level1"/>
      <w:r>
        <w:rPr>
          <w:rStyle w:val="Strong"/>
          <w:rFonts w:ascii="黑体" w:eastAsia="黑体" w:hAnsi="黑体" w:cs="仿宋_GB2312" w:hint="eastAsia"/>
          <w:b w:val="0"/>
          <w:color w:val="auto"/>
          <w:spacing w:val="-4"/>
          <w:sz w:val="32"/>
          <w:szCs w:val="32"/>
        </w:rPr>
        <w:t>改进措施和建议</w:t>
      </w:r>
      <w:bookmarkEnd w:id="10"/>
    </w:p>
    <w:p>
      <w:pPr>
        <w:pStyle w:val="ListParagraph"/>
        <w:numPr>
          <w:ilvl w:val="0"/>
          <w:numId w:val="4"/>
        </w:numPr>
        <w:snapToGrid w:val="0"/>
        <w:spacing w:line="540" w:lineRule="exact"/>
        <w:ind w:firstLine="627"/>
        <w:outlineLvl w:val="1"/>
        <w:rPr>
          <w:rStyle w:val="Strong"/>
          <w:rFonts w:ascii="仿宋_GB2312" w:eastAsia="仿宋_GB2312" w:hAnsi="仿宋_GB2312" w:cs="仿宋_GB2312"/>
          <w:b w:val="0"/>
          <w:bCs w:val="0"/>
          <w:color w:val="auto"/>
          <w:spacing w:val="-4"/>
          <w:sz w:val="32"/>
          <w:szCs w:val="32"/>
        </w:rPr>
      </w:pPr>
      <w:r>
        <w:rPr>
          <w:rStyle w:val="Strong"/>
          <w:rFonts w:ascii="楷体_GB2312" w:eastAsia="楷体_GB2312" w:hAnsi="仿宋_GB2312" w:cs="仿宋_GB2312" w:hint="eastAsia"/>
          <w:color w:val="auto"/>
          <w:spacing w:val="-4"/>
          <w:sz w:val="32"/>
          <w:szCs w:val="32"/>
        </w:rPr>
        <w:t>改进措施</w:t>
      </w:r>
      <w:r>
        <w:rPr>
          <w:rStyle w:val="Strong"/>
          <w:rFonts w:ascii="楷体_GB2312" w:eastAsia="楷体_GB2312" w:hAnsi="仿宋_GB2312" w:cs="仿宋_GB2312" w:hint="eastAsia"/>
          <w:color w:val="auto"/>
          <w:spacing w:val="-4"/>
          <w:sz w:val="32"/>
          <w:szCs w:val="32"/>
          <w:lang w:eastAsia="zh-CN"/>
        </w:rPr>
        <w:t>：</w:t>
      </w:r>
    </w:p>
    <w:p>
      <w:pPr>
        <w:pStyle w:val="ListParagraph"/>
        <w:numPr>
          <w:ilvl w:val="0"/>
          <w:numId w:val="0"/>
        </w:numPr>
        <w:snapToGrid w:val="0"/>
        <w:spacing w:line="540" w:lineRule="exact"/>
        <w:ind w:firstLine="640" w:firstLineChars="200"/>
        <w:outlineLvl w:val="1"/>
        <w:rPr>
          <w:rStyle w:val="Strong"/>
          <w:rFonts w:ascii="仿宋_GB2312" w:eastAsia="仿宋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lang w:val="en-US" w:eastAsia="zh-CN"/>
        </w:rPr>
        <w:t>1、</w:t>
      </w:r>
      <w:r>
        <w:rPr>
          <w:rStyle w:val="Strong"/>
          <w:rFonts w:ascii="仿宋_GB2312" w:eastAsia="仿宋_GB2312" w:hAnsi="仿宋_GB2312" w:cs="仿宋_GB2312" w:hint="eastAsia"/>
          <w:b w:val="0"/>
          <w:bCs w:val="0"/>
          <w:color w:val="auto"/>
          <w:spacing w:val="-4"/>
          <w:sz w:val="32"/>
          <w:szCs w:val="32"/>
        </w:rPr>
        <w:t>加大绩效工作宣传力度，强化绩效理念。完善绩效指标，提高整体绩效目标质量。提升预算精细化管理水平。</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继续完善预算绩效管理相关工作制度，建立全过程预算绩效管理链条，有效贯彻落实全面实施绩效管理的精神。</w:t>
      </w:r>
    </w:p>
    <w:p>
      <w:pPr>
        <w:spacing w:line="600" w:lineRule="exact"/>
        <w:ind w:firstLine="640" w:firstLineChars="200"/>
        <w:jc w:val="left"/>
        <w:rPr>
          <w:rFonts w:ascii="仿宋_GB2312" w:eastAsia="仿宋_GB2312" w:hAnsi="宋体" w:hint="eastAsia"/>
          <w:b w:val="0"/>
          <w:bCs/>
          <w:color w:val="auto"/>
          <w:sz w:val="32"/>
          <w:szCs w:val="32"/>
        </w:rPr>
      </w:pPr>
      <w:r>
        <w:rPr>
          <w:rFonts w:ascii="仿宋_GB2312" w:eastAsia="仿宋_GB2312" w:hAnsi="宋体" w:hint="eastAsia"/>
          <w:b w:val="0"/>
          <w:bCs/>
          <w:color w:val="auto"/>
          <w:sz w:val="32"/>
          <w:szCs w:val="32"/>
        </w:rPr>
        <w:t>加强学习，提高思想认识。组织单位财务人员认真学习《预算法》等相关法规、制度，提高单位领导对全面预算管理的重视程度，增强财务人员的预算意识。</w:t>
      </w:r>
    </w:p>
    <w:p>
      <w:pPr>
        <w:spacing w:line="600" w:lineRule="exact"/>
        <w:ind w:firstLine="640" w:firstLineChars="200"/>
        <w:jc w:val="left"/>
        <w:rPr>
          <w:rFonts w:ascii="仿宋_GB2312" w:eastAsia="仿宋_GB2312" w:hAnsi="宋体" w:hint="eastAsia"/>
          <w:b w:val="0"/>
          <w:bCs/>
          <w:color w:val="auto"/>
          <w:sz w:val="32"/>
          <w:szCs w:val="32"/>
        </w:rPr>
      </w:pPr>
      <w:r>
        <w:rPr>
          <w:rFonts w:ascii="仿宋_GB2312" w:eastAsia="仿宋_GB2312" w:hAnsi="宋体" w:hint="eastAsia"/>
          <w:b w:val="0"/>
          <w:bCs/>
          <w:color w:val="auto"/>
          <w:sz w:val="32"/>
          <w:szCs w:val="32"/>
        </w:rPr>
        <w:t>严格管理，控制“三公”经费和公用经费支出。认真贯彻落实中央八项规定和省委、市委九项规定，切实加强“三公”经费和会议费、培训费管理，严格按照规定开支有关经费，确保单位“三公”经费只减不增。</w:t>
      </w:r>
    </w:p>
    <w:p>
      <w:pPr>
        <w:spacing w:line="600" w:lineRule="exact"/>
        <w:ind w:firstLine="640" w:firstLineChars="200"/>
        <w:jc w:val="left"/>
        <w:rPr>
          <w:rFonts w:ascii="仿宋_GB2312" w:eastAsia="仿宋_GB2312" w:hAnsi="宋体"/>
          <w:b w:val="0"/>
          <w:bCs/>
          <w:color w:val="auto"/>
          <w:sz w:val="32"/>
          <w:szCs w:val="32"/>
        </w:rPr>
      </w:pPr>
      <w:r>
        <w:rPr>
          <w:rFonts w:ascii="仿宋_GB2312" w:eastAsia="仿宋_GB2312" w:hAnsi="宋体" w:hint="eastAsia"/>
          <w:b w:val="0"/>
          <w:bCs/>
          <w:color w:val="auto"/>
          <w:sz w:val="32"/>
          <w:szCs w:val="32"/>
        </w:rPr>
        <w:t>规范财务运行，加强预算支出管理。严格遵循“先有预算、后有支出”的原则，在资金支付管理方面，严格按照规定程序向财政部门申请用款，在财政部门批复的支出预算资金范围内申请使用一般预算支出经费。建立健全并认真执行各项资金使用管理制度，建立内部控制机制，资金使用严格履行审批程序，确保资金支出合法、真实。严格落实会计核算、报销审批制度，加强对资金使用环节的监督。</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2、</w:t>
      </w:r>
      <w:r>
        <w:rPr>
          <w:rStyle w:val="Strong"/>
          <w:rFonts w:ascii="仿宋_GB2312" w:eastAsia="仿宋_GB2312" w:hAnsi="仿宋_GB2312" w:cs="仿宋_GB2312" w:hint="eastAsia"/>
          <w:b w:val="0"/>
          <w:bCs w:val="0"/>
          <w:color w:val="auto"/>
          <w:spacing w:val="-4"/>
          <w:sz w:val="32"/>
          <w:szCs w:val="32"/>
        </w:rPr>
        <w:t>提高资金使用效益。在遵守法律法规的前提下，统筹兼顾、量力而行、讲求绩效，圆满完成党中央、自治区和地区决策部署提出的各项要求。不断完善预算绩效管理相关工作制度，建立全过程预算绩效管理链条，有效贯彻落实全面实施绩效管理的精神。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lang w:val="en-US" w:eastAsia="zh-CN"/>
        </w:rPr>
        <w:t>3、</w:t>
      </w:r>
      <w:r>
        <w:rPr>
          <w:rStyle w:val="Strong"/>
          <w:rFonts w:ascii="仿宋_GB2312" w:eastAsia="仿宋_GB2312" w:hAnsi="仿宋_GB2312" w:cs="仿宋_GB2312" w:hint="eastAsia"/>
          <w:b w:val="0"/>
          <w:bCs w:val="0"/>
          <w:color w:val="auto"/>
          <w:spacing w:val="-4"/>
          <w:sz w:val="32"/>
          <w:szCs w:val="32"/>
        </w:rPr>
        <w:t>强化支出预算约束，进一步提高年初预算编制的科学性和准确性，完善预算执行动态约束机制，加强财政预算资金管理，统筹协调推进项目执行，提高财政资金效益和效果。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32"/>
          <w:szCs w:val="32"/>
        </w:rPr>
      </w:pPr>
      <w:r>
        <w:rPr>
          <w:rStyle w:val="Strong"/>
          <w:rFonts w:ascii="楷体_GB2312" w:eastAsia="楷体_GB2312" w:hAnsi="仿宋_GB2312" w:cs="仿宋_GB2312" w:hint="eastAsia"/>
          <w:b w:val="0"/>
          <w:bCs w:val="0"/>
          <w:color w:val="auto"/>
          <w:spacing w:val="-4"/>
          <w:sz w:val="32"/>
          <w:szCs w:val="32"/>
        </w:rPr>
        <w:t>（</w:t>
      </w:r>
      <w:r>
        <w:rPr>
          <w:rStyle w:val="Strong"/>
          <w:rFonts w:ascii="楷体_GB2312" w:eastAsia="楷体_GB2312" w:hAnsi="仿宋_GB2312" w:cs="仿宋_GB2312" w:hint="eastAsia"/>
          <w:color w:val="auto"/>
          <w:spacing w:val="-4"/>
          <w:sz w:val="32"/>
          <w:szCs w:val="32"/>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1</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b w:val="0"/>
          <w:bCs w:val="0"/>
          <w:color w:val="auto"/>
          <w:spacing w:val="-4"/>
          <w:sz w:val="32"/>
          <w:szCs w:val="32"/>
        </w:rPr>
        <w:t>2.</w:t>
      </w:r>
      <w:r>
        <w:rPr>
          <w:rStyle w:val="Strong"/>
          <w:rFonts w:ascii="仿宋_GB2312" w:eastAsia="仿宋_GB2312" w:hAnsi="仿宋_GB2312" w:cs="仿宋_GB2312" w:hint="eastAsia"/>
          <w:b w:val="0"/>
          <w:bCs w:val="0"/>
          <w:color w:val="auto"/>
          <w:spacing w:val="-4"/>
          <w:sz w:val="32"/>
          <w:szCs w:val="32"/>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1"/>
        <w:snapToGrid w:val="0"/>
        <w:spacing w:line="570" w:lineRule="exact"/>
        <w:ind w:firstLine="624"/>
        <w:rPr>
          <w:rStyle w:val="Strong"/>
          <w:rFonts w:ascii="仿宋_GB2312" w:eastAsia="仿宋_GB2312" w:hAnsi="仿宋_GB2312" w:cs="仿宋_GB2312"/>
          <w:b w:val="0"/>
          <w:bCs w:val="0"/>
          <w:color w:val="auto"/>
          <w:spacing w:val="-4"/>
          <w:sz w:val="32"/>
          <w:szCs w:val="32"/>
        </w:rPr>
      </w:pPr>
      <w:r>
        <w:rPr>
          <w:rStyle w:val="Strong"/>
          <w:rFonts w:ascii="仿宋_GB2312" w:eastAsia="仿宋_GB2312" w:hAnsi="仿宋_GB2312" w:cs="仿宋_GB2312" w:hint="eastAsia"/>
          <w:b w:val="0"/>
          <w:bCs w:val="0"/>
          <w:color w:val="auto"/>
          <w:spacing w:val="-4"/>
          <w:sz w:val="32"/>
          <w:szCs w:val="32"/>
        </w:rPr>
        <w:t>3</w:t>
      </w:r>
      <w:r>
        <w:rPr>
          <w:rStyle w:val="Strong"/>
          <w:rFonts w:ascii="仿宋_GB2312" w:eastAsia="仿宋_GB2312" w:hAnsi="仿宋_GB2312" w:cs="仿宋_GB2312"/>
          <w:b w:val="0"/>
          <w:bCs w:val="0"/>
          <w:color w:val="auto"/>
          <w:spacing w:val="-4"/>
          <w:sz w:val="32"/>
          <w:szCs w:val="32"/>
        </w:rPr>
        <w:t>.</w:t>
      </w:r>
      <w:r>
        <w:rPr>
          <w:rStyle w:val="Strong"/>
          <w:rFonts w:ascii="仿宋_GB2312" w:eastAsia="仿宋_GB2312" w:hAnsi="仿宋_GB2312" w:cs="仿宋_GB2312" w:hint="eastAsia"/>
          <w:b w:val="0"/>
          <w:bCs w:val="0"/>
          <w:color w:val="auto"/>
          <w:spacing w:val="-4"/>
          <w:sz w:val="32"/>
          <w:szCs w:val="32"/>
        </w:rPr>
        <w:t>完善资产管理，抓好“三公”经费控制。严格编制政府采购年初预算和计划，规范各资产采购制度、使用管理制度、资产处置和报废审批制度等，加强单位内部的资产管理工作。严格控制“三公”经费的规模和比例，严把“三公”经费支出的审核、审批，杜绝挪用和挤占其他预算资金行为；进一步细化“三公”经费的管理，合理压缩“三公”经费支出。</w:t>
      </w:r>
    </w:p>
    <w:p>
      <w:pPr>
        <w:pStyle w:val="Heading1"/>
        <w:spacing w:line="570" w:lineRule="exact"/>
        <w:ind w:firstLine="640"/>
        <w:rPr>
          <w:rFonts w:ascii="黑体" w:hAnsi="黑体"/>
          <w:b w:val="0"/>
          <w:color w:val="auto"/>
          <w:sz w:val="32"/>
          <w:szCs w:val="32"/>
        </w:rPr>
      </w:pPr>
      <w:r>
        <w:rPr>
          <w:rFonts w:ascii="黑体" w:hAnsi="黑体" w:hint="eastAsia"/>
          <w:b w:val="0"/>
          <w:color w:val="auto"/>
          <w:sz w:val="32"/>
          <w:szCs w:val="32"/>
        </w:rPr>
        <w:t>八、附表</w:t>
      </w:r>
    </w:p>
    <w:p>
      <w:pPr>
        <w:spacing w:line="570" w:lineRule="exact"/>
        <w:ind w:firstLine="640"/>
        <w:rPr>
          <w:rStyle w:val="Strong"/>
          <w:rFonts w:ascii="仿宋_GB2312" w:eastAsia="仿宋_GB2312" w:hAnsi="仿宋_GB2312" w:cs="仿宋_GB2312"/>
          <w:b w:val="0"/>
          <w:bCs w:val="0"/>
          <w:color w:val="FF0000"/>
          <w:spacing w:val="-4"/>
          <w:sz w:val="32"/>
          <w:szCs w:val="32"/>
        </w:rPr>
      </w:pPr>
      <w:r>
        <w:rPr>
          <w:rFonts w:ascii="仿宋_GB2312" w:eastAsia="仿宋_GB2312" w:hint="eastAsia"/>
          <w:color w:val="auto"/>
          <w:sz w:val="32"/>
          <w:szCs w:val="32"/>
        </w:rPr>
        <w:t>《部门整体支出绩效目标自评表》</w:t>
      </w: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2000000000000000000"/>
    <w:charset w:val="86"/>
    <w:family w:val="script"/>
    <w:pitch w:val="default"/>
    <w:sig w:usb0="00000000" w:usb1="00000000" w:usb2="00082016" w:usb3="00000000" w:csb0="0004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14 -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3C2D34"/>
    <w:multiLevelType w:val="singleLevel"/>
    <w:tmpl w:val="903C2D34"/>
    <w:lvl w:ilvl="0">
      <w:start w:val="1"/>
      <w:numFmt w:val="chineseCounting"/>
      <w:suff w:val="nothing"/>
      <w:lvlText w:val="（%1）"/>
      <w:lvlJc w:val="left"/>
      <w:rPr>
        <w:rFonts w:hint="eastAsia"/>
      </w:rPr>
    </w:lvl>
  </w:abstractNum>
  <w:abstractNum w:abstractNumId="1">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2">
    <w:nsid w:val="49D93B20"/>
    <w:multiLevelType w:val="multilevel"/>
    <w:tmpl w:val="49D93B20"/>
    <w:lvl w:ilvl="0">
      <w:start w:val="1"/>
      <w:numFmt w:val="japaneseCounting"/>
      <w:lvlText w:val="（%1）"/>
      <w:lvlJc w:val="left"/>
      <w:pPr>
        <w:ind w:left="1648" w:hanging="1005"/>
      </w:pPr>
      <w:rPr>
        <w:rFonts w:ascii="楷体_GB2312" w:eastAsia="楷体_GB2312" w:hint="default"/>
      </w:rPr>
    </w:lvl>
    <w:lvl w:ilvl="1">
      <w:start w:val="1"/>
      <w:numFmt w:val="lowerLetter"/>
      <w:lvlText w:val="%2)"/>
      <w:lvlJc w:val="left"/>
      <w:pPr>
        <w:ind w:left="1483" w:hanging="420"/>
      </w:pPr>
    </w:lvl>
    <w:lvl w:ilvl="2">
      <w:start w:val="1"/>
      <w:numFmt w:val="lowerRoman"/>
      <w:lvlText w:val="%3."/>
      <w:lvlJc w:val="right"/>
      <w:pPr>
        <w:ind w:left="1903" w:hanging="420"/>
      </w:pPr>
    </w:lvl>
    <w:lvl w:ilvl="3">
      <w:start w:val="1"/>
      <w:numFmt w:val="decimal"/>
      <w:lvlText w:val="%4."/>
      <w:lvlJc w:val="left"/>
      <w:pPr>
        <w:ind w:left="2323" w:hanging="420"/>
      </w:pPr>
    </w:lvl>
    <w:lvl w:ilvl="4">
      <w:start w:val="1"/>
      <w:numFmt w:val="lowerLetter"/>
      <w:lvlText w:val="%5)"/>
      <w:lvlJc w:val="left"/>
      <w:pPr>
        <w:ind w:left="2743" w:hanging="420"/>
      </w:pPr>
    </w:lvl>
    <w:lvl w:ilvl="5">
      <w:start w:val="1"/>
      <w:numFmt w:val="lowerRoman"/>
      <w:lvlText w:val="%6."/>
      <w:lvlJc w:val="right"/>
      <w:pPr>
        <w:ind w:left="3163" w:hanging="420"/>
      </w:pPr>
    </w:lvl>
    <w:lvl w:ilvl="6">
      <w:start w:val="1"/>
      <w:numFmt w:val="decimal"/>
      <w:lvlText w:val="%7."/>
      <w:lvlJc w:val="left"/>
      <w:pPr>
        <w:ind w:left="3583" w:hanging="420"/>
      </w:pPr>
    </w:lvl>
    <w:lvl w:ilvl="7">
      <w:start w:val="1"/>
      <w:numFmt w:val="lowerLetter"/>
      <w:lvlText w:val="%8)"/>
      <w:lvlJc w:val="left"/>
      <w:pPr>
        <w:ind w:left="4003" w:hanging="420"/>
      </w:pPr>
    </w:lvl>
    <w:lvl w:ilvl="8">
      <w:start w:val="1"/>
      <w:numFmt w:val="lowerRoman"/>
      <w:lvlText w:val="%9."/>
      <w:lvlJc w:val="right"/>
      <w:pPr>
        <w:ind w:left="4423" w:hanging="420"/>
      </w:pPr>
    </w:lvl>
  </w:abstractNum>
  <w:abstractNum w:abstractNumId="3">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2"/>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A27E7"/>
    <w:rsid w:val="000A4BB2"/>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40A8A"/>
    <w:rsid w:val="003929FD"/>
    <w:rsid w:val="003C4F48"/>
    <w:rsid w:val="003F0DB2"/>
    <w:rsid w:val="00424A01"/>
    <w:rsid w:val="00491D09"/>
    <w:rsid w:val="004E1483"/>
    <w:rsid w:val="0054132C"/>
    <w:rsid w:val="00596691"/>
    <w:rsid w:val="005A717C"/>
    <w:rsid w:val="005B1250"/>
    <w:rsid w:val="005D1813"/>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9387B"/>
    <w:rsid w:val="008A2BC0"/>
    <w:rsid w:val="008B4DD7"/>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5B16"/>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088A"/>
    <w:rsid w:val="00F326C7"/>
    <w:rsid w:val="00F616D8"/>
    <w:rsid w:val="00F84215"/>
    <w:rsid w:val="00FF2ACD"/>
    <w:rsid w:val="012008EE"/>
    <w:rsid w:val="01CC583F"/>
    <w:rsid w:val="04B65BB8"/>
    <w:rsid w:val="04FF0482"/>
    <w:rsid w:val="05062887"/>
    <w:rsid w:val="058E46AD"/>
    <w:rsid w:val="05F70F85"/>
    <w:rsid w:val="060B1D7C"/>
    <w:rsid w:val="06C66888"/>
    <w:rsid w:val="084208C4"/>
    <w:rsid w:val="098A3C0A"/>
    <w:rsid w:val="0A9A7091"/>
    <w:rsid w:val="0B9B607A"/>
    <w:rsid w:val="0FC26B1F"/>
    <w:rsid w:val="10FE60D7"/>
    <w:rsid w:val="143B66A7"/>
    <w:rsid w:val="15085607"/>
    <w:rsid w:val="15916E29"/>
    <w:rsid w:val="15FC56BE"/>
    <w:rsid w:val="175D58E3"/>
    <w:rsid w:val="18061B60"/>
    <w:rsid w:val="186C0025"/>
    <w:rsid w:val="190C3DF8"/>
    <w:rsid w:val="19F83E30"/>
    <w:rsid w:val="1A34036A"/>
    <w:rsid w:val="1AD6211A"/>
    <w:rsid w:val="1B234706"/>
    <w:rsid w:val="1B403139"/>
    <w:rsid w:val="1C6D319F"/>
    <w:rsid w:val="1D4D74D6"/>
    <w:rsid w:val="1DE32CFD"/>
    <w:rsid w:val="1DFC1793"/>
    <w:rsid w:val="1F1A602A"/>
    <w:rsid w:val="1F2854B6"/>
    <w:rsid w:val="21C768CD"/>
    <w:rsid w:val="22E14253"/>
    <w:rsid w:val="23F209A3"/>
    <w:rsid w:val="2403516E"/>
    <w:rsid w:val="24EC49D0"/>
    <w:rsid w:val="256A2A9E"/>
    <w:rsid w:val="2805537E"/>
    <w:rsid w:val="289437EE"/>
    <w:rsid w:val="2D630833"/>
    <w:rsid w:val="2EBF757D"/>
    <w:rsid w:val="2F384566"/>
    <w:rsid w:val="31B83F5F"/>
    <w:rsid w:val="328E2AB6"/>
    <w:rsid w:val="329B12EA"/>
    <w:rsid w:val="33A83F87"/>
    <w:rsid w:val="355C2B3F"/>
    <w:rsid w:val="35693C66"/>
    <w:rsid w:val="35F12468"/>
    <w:rsid w:val="36851B5C"/>
    <w:rsid w:val="37D360CA"/>
    <w:rsid w:val="38CB5066"/>
    <w:rsid w:val="399B4ED7"/>
    <w:rsid w:val="3BE77260"/>
    <w:rsid w:val="3C2E48C6"/>
    <w:rsid w:val="3D395BFC"/>
    <w:rsid w:val="3F301058"/>
    <w:rsid w:val="417A34F9"/>
    <w:rsid w:val="418810F4"/>
    <w:rsid w:val="41A37673"/>
    <w:rsid w:val="42C30950"/>
    <w:rsid w:val="42C95507"/>
    <w:rsid w:val="43CD433E"/>
    <w:rsid w:val="44511791"/>
    <w:rsid w:val="446A2DCF"/>
    <w:rsid w:val="44E01C29"/>
    <w:rsid w:val="45A65C7F"/>
    <w:rsid w:val="468C2A4A"/>
    <w:rsid w:val="46AD2493"/>
    <w:rsid w:val="46EC7F14"/>
    <w:rsid w:val="48AF4C7F"/>
    <w:rsid w:val="4A81677A"/>
    <w:rsid w:val="4C4E7334"/>
    <w:rsid w:val="4DA177B2"/>
    <w:rsid w:val="4DF36D4F"/>
    <w:rsid w:val="4EB41A1D"/>
    <w:rsid w:val="501B7C76"/>
    <w:rsid w:val="504D5CCF"/>
    <w:rsid w:val="523F4BB9"/>
    <w:rsid w:val="533A7469"/>
    <w:rsid w:val="53526129"/>
    <w:rsid w:val="53F94695"/>
    <w:rsid w:val="565F61A9"/>
    <w:rsid w:val="57232FC4"/>
    <w:rsid w:val="572D2326"/>
    <w:rsid w:val="57365691"/>
    <w:rsid w:val="578E5938"/>
    <w:rsid w:val="59001004"/>
    <w:rsid w:val="59EE1E48"/>
    <w:rsid w:val="5A490F5C"/>
    <w:rsid w:val="5B493C89"/>
    <w:rsid w:val="5BD21464"/>
    <w:rsid w:val="5BDE2B83"/>
    <w:rsid w:val="5CDE449F"/>
    <w:rsid w:val="5D355238"/>
    <w:rsid w:val="61635F72"/>
    <w:rsid w:val="618606C5"/>
    <w:rsid w:val="61C3748F"/>
    <w:rsid w:val="61C70291"/>
    <w:rsid w:val="62B459F1"/>
    <w:rsid w:val="63E114D3"/>
    <w:rsid w:val="6AD46D46"/>
    <w:rsid w:val="6BA61EE3"/>
    <w:rsid w:val="6D4A4B69"/>
    <w:rsid w:val="6DE07909"/>
    <w:rsid w:val="6E58438A"/>
    <w:rsid w:val="6E9D5508"/>
    <w:rsid w:val="6EF65980"/>
    <w:rsid w:val="6EFBF267"/>
    <w:rsid w:val="706717B8"/>
    <w:rsid w:val="71EB22B3"/>
    <w:rsid w:val="72010FA6"/>
    <w:rsid w:val="748A4F72"/>
    <w:rsid w:val="754262CC"/>
    <w:rsid w:val="75664078"/>
    <w:rsid w:val="75946F0A"/>
    <w:rsid w:val="761E4132"/>
    <w:rsid w:val="78061A79"/>
    <w:rsid w:val="7BC003CA"/>
    <w:rsid w:val="7C88698F"/>
    <w:rsid w:val="7CBF4BB4"/>
    <w:rsid w:val="7E5D346D"/>
    <w:rsid w:val="7EB62219"/>
    <w:rsid w:val="7FDB1E88"/>
  </w:rsids>
  <w:docVars>
    <w:docVar w:name="commondata" w:val="eyJoZGlkIjoiZmVlZTUzZTNmN2FkMDcwNWM5MzZkZmM0YjM1ZTcwNjk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Char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Char1"/>
    <w:uiPriority w:val="99"/>
    <w:semiHidden/>
    <w:unhideWhenUsed/>
    <w:qFormat/>
    <w:rPr>
      <w:sz w:val="18"/>
      <w:szCs w:val="18"/>
    </w:rPr>
  </w:style>
  <w:style w:type="paragraph" w:styleId="Footer">
    <w:name w:val="footer"/>
    <w:basedOn w:val="Normal"/>
    <w:link w:val="Char"/>
    <w:uiPriority w:val="99"/>
    <w:unhideWhenUsed/>
    <w:qFormat/>
    <w:pPr>
      <w:tabs>
        <w:tab w:val="center" w:pos="4153"/>
        <w:tab w:val="right" w:pos="8306"/>
      </w:tabs>
      <w:snapToGrid w:val="0"/>
      <w:jc w:val="left"/>
    </w:pPr>
    <w:rPr>
      <w:sz w:val="18"/>
      <w:szCs w:val="18"/>
    </w:rPr>
  </w:style>
  <w:style w:type="paragraph" w:styleId="Header">
    <w:name w:val="header"/>
    <w:basedOn w:val="Normal"/>
    <w:link w:val="Char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Char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Char">
    <w:name w:val="页脚 Char"/>
    <w:basedOn w:val="DefaultParagraphFont"/>
    <w:link w:val="Footer"/>
    <w:uiPriority w:val="99"/>
    <w:qFormat/>
    <w:rPr>
      <w:sz w:val="18"/>
      <w:szCs w:val="18"/>
    </w:rPr>
  </w:style>
  <w:style w:type="character" w:customStyle="1" w:styleId="Char0">
    <w:name w:val="页眉 Char"/>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Char1">
    <w:name w:val="批注框文本 Char"/>
    <w:basedOn w:val="DefaultParagraphFont"/>
    <w:link w:val="BalloonText"/>
    <w:uiPriority w:val="99"/>
    <w:semiHidden/>
    <w:qFormat/>
    <w:rPr>
      <w:rFonts w:ascii="Calibri" w:eastAsia="宋体" w:hAnsi="Calibri" w:cs="Arial"/>
      <w:kern w:val="2"/>
      <w:sz w:val="18"/>
      <w:szCs w:val="18"/>
    </w:rPr>
  </w:style>
  <w:style w:type="character" w:customStyle="1" w:styleId="Char2">
    <w:name w:val="批注文字 Char"/>
    <w:basedOn w:val="DefaultParagraphFont"/>
    <w:link w:val="CommentText"/>
    <w:uiPriority w:val="99"/>
    <w:semiHidden/>
    <w:qFormat/>
    <w:rPr>
      <w:rFonts w:ascii="Calibri" w:eastAsia="宋体" w:hAnsi="Calibri" w:cs="Arial"/>
      <w:kern w:val="2"/>
      <w:sz w:val="21"/>
      <w:szCs w:val="24"/>
    </w:rPr>
  </w:style>
  <w:style w:type="character" w:customStyle="1" w:styleId="Char3">
    <w:name w:val="批注主题 Char"/>
    <w:basedOn w:val="Char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FC26F93-C6FE-4822-AF5E-21D06221A1D3}">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25</Pages>
  <Words>2035</Words>
  <Characters>11604</Characters>
  <Application>Microsoft Office Word</Application>
  <DocSecurity>0</DocSecurity>
  <Lines>96</Lines>
  <Paragraphs>27</Paragraphs>
  <ScaleCrop>false</ScaleCrop>
  <Company>市直单位</Company>
  <LinksUpToDate>false</LinksUpToDate>
  <CharactersWithSpaces>13612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19</cp:revision>
  <dcterms:created xsi:type="dcterms:W3CDTF">2021-02-24T22:26:00Z</dcterms:created>
  <dcterms:modified xsi:type="dcterms:W3CDTF">2023-02-14T12:47:20Z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FD1A951A23A34F8A9C184FC281F59312</vt:lpwstr>
  </property>
  <property fmtid="{D5CDD505-2E9C-101B-9397-08002B2CF9AE}" pid="3" name="KSOProductBuildVer">
    <vt:lpwstr>2052-11.8.2.8555</vt:lpwstr>
  </property>
</Properties>
</file>