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本级部门单位整体支出绩效</w:t>
      </w: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自评报告</w:t>
      </w: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（2022年度）</w:t>
      </w: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700" w:lineRule="exact"/>
        <w:ind w:firstLine="1280" w:firstLineChars="400"/>
        <w:jc w:val="left"/>
        <w:rPr>
          <w:rFonts w:ascii="仿宋_GB2312" w:eastAsia="仿宋_GB2312" w:hint="default"/>
          <w:kern w:val="0"/>
          <w:sz w:val="32"/>
          <w:szCs w:val="32"/>
          <w:lang w:val="en-US"/>
        </w:rPr>
      </w:pPr>
      <w:r>
        <w:rPr>
          <w:rFonts w:ascii="仿宋_GB2312" w:eastAsia="仿宋_GB2312" w:hint="eastAsia"/>
          <w:kern w:val="0"/>
          <w:sz w:val="32"/>
          <w:szCs w:val="32"/>
        </w:rPr>
        <w:t>项目名称：</w:t>
      </w:r>
      <w:r>
        <w:rPr>
          <w:rFonts w:ascii="仿宋_GB2312" w:eastAsia="仿宋_GB2312" w:hint="eastAsia"/>
          <w:kern w:val="0"/>
          <w:sz w:val="32"/>
          <w:szCs w:val="32"/>
          <w:lang w:val="en-US" w:eastAsia="zh-CN"/>
        </w:rPr>
        <w:t>公共文化服务体系建设项目</w:t>
      </w:r>
    </w:p>
    <w:p>
      <w:pPr>
        <w:spacing w:line="700" w:lineRule="exact"/>
        <w:ind w:firstLine="1280" w:firstLineChars="400"/>
        <w:jc w:val="left"/>
        <w:rPr>
          <w:rFonts w:ascii="仿宋_GB2312" w:eastAsia="仿宋_GB2312" w:hAnsi="仿宋_GB2312" w:cs="仿宋_GB2312" w:hint="eastAsia"/>
          <w:color w:val="000000" w:themeColor="text1"/>
          <w:kern w:val="0"/>
          <w:sz w:val="32"/>
          <w:szCs w:val="32"/>
          <w:lang w:eastAsia="zh-CN"/>
          <w14:textFill>
            <w14:solidFill>
              <w14:schemeClr w14:val="tx1"/>
            </w14:solidFill>
          </w14:textFill>
        </w:rPr>
      </w:pPr>
      <w:r>
        <w:rPr>
          <w:rFonts w:ascii="仿宋_GB2312" w:eastAsia="仿宋_GB2312" w:hint="eastAsia"/>
          <w:kern w:val="0"/>
          <w:sz w:val="32"/>
          <w:szCs w:val="32"/>
        </w:rPr>
        <w:t>实施单位（公章）：</w:t>
      </w:r>
      <w:r>
        <w:rPr>
          <w:rFonts w:ascii="仿宋_GB2312" w:eastAsia="仿宋_GB2312" w:hAnsi="仿宋_GB2312" w:cs="仿宋_GB2312" w:hint="eastAsia"/>
          <w:color w:val="000000" w:themeColor="text1"/>
          <w:kern w:val="0"/>
          <w:sz w:val="32"/>
          <w:szCs w:val="32"/>
          <w:lang w:eastAsia="zh-CN"/>
          <w14:textFill>
            <w14:solidFill>
              <w14:schemeClr w14:val="tx1"/>
            </w14:solidFill>
          </w14:textFill>
        </w:rPr>
        <w:t>中共乌苏市委宣传部</w:t>
      </w:r>
    </w:p>
    <w:p>
      <w:pPr>
        <w:spacing w:line="700" w:lineRule="exact"/>
        <w:ind w:firstLine="640" w:firstLineChars="200"/>
        <w:jc w:val="left"/>
        <w:rPr>
          <w:rFonts w:ascii="仿宋_GB2312" w:eastAsia="仿宋_GB2312" w:hAnsi="仿宋_GB2312" w:cs="仿宋_GB2312" w:hint="eastAsia"/>
          <w:color w:val="000000" w:themeColor="text1"/>
          <w:kern w:val="0"/>
          <w:sz w:val="32"/>
          <w:szCs w:val="32"/>
          <w:lang w:eastAsia="zh-CN"/>
          <w14:textFill>
            <w14:solidFill>
              <w14:schemeClr w14:val="tx1"/>
            </w14:solidFill>
          </w14:textFill>
        </w:rPr>
      </w:pPr>
      <w:r>
        <w:rPr>
          <w:rFonts w:ascii="仿宋_GB2312" w:eastAsia="仿宋_GB2312" w:hint="eastAsia"/>
          <w:kern w:val="0"/>
          <w:sz w:val="32"/>
          <w:szCs w:val="32"/>
        </w:rPr>
        <w:t>主管部门（公章）：</w:t>
      </w:r>
      <w:r>
        <w:rPr>
          <w:rFonts w:ascii="仿宋_GB2312" w:eastAsia="仿宋_GB2312" w:hAnsi="仿宋_GB2312" w:cs="仿宋_GB2312" w:hint="eastAsia"/>
          <w:color w:val="000000" w:themeColor="text1"/>
          <w:kern w:val="0"/>
          <w:sz w:val="32"/>
          <w:szCs w:val="32"/>
          <w:lang w:eastAsia="zh-CN"/>
          <w14:textFill>
            <w14:solidFill>
              <w14:schemeClr w14:val="tx1"/>
            </w14:solidFill>
          </w14:textFill>
        </w:rPr>
        <w:t>中共乌苏市委宣传部</w:t>
      </w:r>
    </w:p>
    <w:p>
      <w:pPr>
        <w:spacing w:line="700" w:lineRule="exact"/>
        <w:ind w:firstLine="1280" w:firstLineChars="400"/>
        <w:jc w:val="left"/>
        <w:rPr>
          <w:rFonts w:ascii="仿宋_GB2312" w:eastAsia="仿宋_GB2312" w:hint="default"/>
          <w:kern w:val="0"/>
          <w:sz w:val="32"/>
          <w:szCs w:val="32"/>
          <w:lang w:val="en-US" w:eastAsia="zh-CN"/>
        </w:rPr>
      </w:pPr>
      <w:r>
        <w:rPr>
          <w:rFonts w:ascii="仿宋_GB2312" w:eastAsia="仿宋_GB2312" w:hint="eastAsia"/>
          <w:kern w:val="0"/>
          <w:sz w:val="32"/>
          <w:szCs w:val="32"/>
        </w:rPr>
        <w:t>项目负责人（签章）：</w:t>
      </w:r>
      <w:r>
        <w:rPr>
          <w:rFonts w:ascii="仿宋_GB2312" w:eastAsia="仿宋_GB2312" w:hint="eastAsia"/>
          <w:kern w:val="0"/>
          <w:sz w:val="32"/>
          <w:szCs w:val="32"/>
          <w:lang w:val="en-US" w:eastAsia="zh-CN"/>
        </w:rPr>
        <w:t>隋静</w:t>
      </w:r>
    </w:p>
    <w:p>
      <w:pPr>
        <w:spacing w:line="700" w:lineRule="exact"/>
        <w:ind w:firstLine="1280" w:firstLineChars="400"/>
        <w:jc w:val="both"/>
        <w:rPr>
          <w:rFonts w:ascii="仿宋_GB2312" w:eastAsia="仿宋_GB2312" w:hint="eastAsia"/>
          <w:kern w:val="0"/>
          <w:sz w:val="32"/>
          <w:szCs w:val="32"/>
        </w:rPr>
      </w:pPr>
      <w:r>
        <w:rPr>
          <w:rFonts w:ascii="仿宋_GB2312" w:eastAsia="仿宋_GB2312" w:hint="eastAsia"/>
          <w:kern w:val="0"/>
          <w:sz w:val="32"/>
          <w:szCs w:val="32"/>
        </w:rPr>
        <w:t>填报时间：202</w:t>
      </w:r>
      <w:r>
        <w:rPr>
          <w:rFonts w:ascii="仿宋_GB2312" w:eastAsia="仿宋_GB2312" w:hint="eastAsia"/>
          <w:kern w:val="0"/>
          <w:sz w:val="32"/>
          <w:szCs w:val="32"/>
          <w:lang w:val="en-US" w:eastAsia="zh-CN"/>
        </w:rPr>
        <w:t>2</w:t>
      </w:r>
      <w:r>
        <w:rPr>
          <w:rFonts w:ascii="仿宋_GB2312" w:eastAsia="仿宋_GB2312" w:hint="eastAsia"/>
          <w:kern w:val="0"/>
          <w:sz w:val="32"/>
          <w:szCs w:val="32"/>
        </w:rPr>
        <w:t>年</w:t>
      </w:r>
      <w:r>
        <w:rPr>
          <w:rFonts w:ascii="仿宋_GB2312" w:eastAsia="仿宋_GB2312" w:hint="eastAsia"/>
          <w:kern w:val="0"/>
          <w:sz w:val="32"/>
          <w:szCs w:val="32"/>
          <w:lang w:val="en-US" w:eastAsia="zh-CN"/>
        </w:rPr>
        <w:t>2</w:t>
      </w:r>
      <w:r>
        <w:rPr>
          <w:rFonts w:ascii="仿宋_GB2312" w:eastAsia="仿宋_GB2312" w:hint="eastAsia"/>
          <w:kern w:val="0"/>
          <w:sz w:val="32"/>
          <w:szCs w:val="32"/>
        </w:rPr>
        <w:t>月</w:t>
      </w:r>
    </w:p>
    <w:p>
      <w:pPr>
        <w:spacing w:line="540" w:lineRule="exact"/>
        <w:jc w:val="center"/>
        <w:rPr>
          <w:rFonts w:ascii="仿宋_GB2312" w:eastAsia="仿宋_GB2312" w:hAnsi="仿宋_GB2312" w:cs="仿宋_GB2312"/>
          <w:kern w:val="0"/>
          <w:sz w:val="32"/>
          <w:szCs w:val="32"/>
        </w:rPr>
      </w:pPr>
    </w:p>
    <w:p>
      <w:pPr>
        <w:spacing w:line="540" w:lineRule="exact"/>
        <w:rPr>
          <w:rFonts w:ascii="仿宋_GB2312" w:eastAsia="仿宋_GB2312" w:hAnsi="仿宋_GB2312" w:cs="仿宋_GB2312"/>
          <w:kern w:val="0"/>
          <w:sz w:val="32"/>
          <w:szCs w:val="32"/>
        </w:rPr>
      </w:pPr>
    </w:p>
    <w:p>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pPr>
        <w:pStyle w:val="ListParagraph"/>
        <w:numPr>
          <w:ilvl w:val="0"/>
          <w:numId w:val="0"/>
        </w:numPr>
        <w:snapToGrid w:val="0"/>
        <w:spacing w:line="540" w:lineRule="exact"/>
        <w:ind w:left="648" w:leftChars="0"/>
        <w:outlineLvl w:val="0"/>
        <w:rPr>
          <w:rFonts w:ascii="黑体" w:eastAsia="黑体" w:hAnsi="黑体" w:cs="仿宋_GB2312" w:hint="eastAsia"/>
          <w:color w:val="333333"/>
          <w:sz w:val="32"/>
          <w:szCs w:val="32"/>
          <w:lang w:eastAsia="zh-CN" w:bidi="ar"/>
        </w:rPr>
      </w:pPr>
      <w:bookmarkStart w:id="0" w:name="_Toc23945_WPSOffice_Level1"/>
      <w:bookmarkStart w:id="1" w:name="_GoBack"/>
      <w:bookmarkEnd w:id="1"/>
    </w:p>
    <w:p>
      <w:pPr>
        <w:pStyle w:val="ListParagraph"/>
        <w:numPr>
          <w:ilvl w:val="0"/>
          <w:numId w:val="0"/>
        </w:numPr>
        <w:snapToGrid w:val="0"/>
        <w:spacing w:line="540" w:lineRule="exact"/>
        <w:ind w:left="648" w:leftChars="0"/>
        <w:outlineLvl w:val="0"/>
        <w:rPr>
          <w:rFonts w:ascii="黑体" w:eastAsia="黑体" w:hAnsi="黑体" w:cs="仿宋_GB2312" w:hint="eastAsia"/>
          <w:color w:val="333333"/>
          <w:sz w:val="32"/>
          <w:szCs w:val="32"/>
          <w:lang w:eastAsia="zh-CN" w:bidi="ar"/>
        </w:rPr>
      </w:pPr>
    </w:p>
    <w:p>
      <w:pPr>
        <w:pStyle w:val="ListParagraph"/>
        <w:numPr>
          <w:ilvl w:val="0"/>
          <w:numId w:val="0"/>
        </w:numPr>
        <w:snapToGrid w:val="0"/>
        <w:spacing w:line="540" w:lineRule="exact"/>
        <w:ind w:left="648" w:leftChars="0"/>
        <w:outlineLvl w:val="0"/>
        <w:rPr>
          <w:rFonts w:ascii="黑体" w:eastAsia="黑体" w:hAnsi="黑体" w:cs="仿宋_GB2312"/>
          <w:color w:val="333333"/>
          <w:sz w:val="32"/>
          <w:szCs w:val="32"/>
          <w:lang w:bidi="ar"/>
        </w:rPr>
      </w:pPr>
      <w:r>
        <w:rPr>
          <w:rFonts w:ascii="黑体" w:eastAsia="黑体" w:hAnsi="黑体" w:cs="仿宋_GB2312" w:hint="eastAsia"/>
          <w:color w:val="333333"/>
          <w:sz w:val="32"/>
          <w:szCs w:val="32"/>
          <w:lang w:eastAsia="zh-CN" w:bidi="ar"/>
        </w:rPr>
        <w:t>一、</w:t>
      </w:r>
      <w:r>
        <w:rPr>
          <w:rFonts w:ascii="黑体" w:eastAsia="黑体" w:hAnsi="黑体" w:cs="仿宋_GB2312" w:hint="eastAsia"/>
          <w:color w:val="333333"/>
          <w:sz w:val="32"/>
          <w:szCs w:val="32"/>
          <w:lang w:bidi="ar"/>
        </w:rPr>
        <w:t>基本概况</w:t>
      </w:r>
      <w:bookmarkEnd w:id="0"/>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1.部门主要职能</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（1）</w:t>
      </w:r>
      <w:r>
        <w:rPr>
          <w:rFonts w:ascii="仿宋_GB2312" w:eastAsia="仿宋_GB2312" w:hint="eastAsia"/>
          <w:sz w:val="32"/>
          <w:szCs w:val="32"/>
          <w:lang w:val="en-US" w:eastAsia="zh-CN"/>
        </w:rPr>
        <w:t>在市委统一领导下，宣传、贯彻、落实中央、自治区、地区及乌苏市委关于宣传思想工作的基本方针、原则、任务、目标和指导精神、政策措施等。</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（2）</w:t>
      </w:r>
      <w:r>
        <w:rPr>
          <w:rFonts w:ascii="仿宋_GB2312" w:eastAsia="仿宋_GB2312" w:hint="eastAsia"/>
          <w:sz w:val="32"/>
          <w:szCs w:val="32"/>
          <w:lang w:val="en-US" w:eastAsia="zh-CN"/>
        </w:rPr>
        <w:t>紧紧围绕乌苏市委、市政府的中心工作，坚持正确的舆论导向，坚持团结稳定鼓劲、正面宣传为主，为全市社会稳定和长治久安营造良好的舆论环境和氛围。</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（3）</w:t>
      </w:r>
      <w:r>
        <w:rPr>
          <w:rFonts w:ascii="仿宋_GB2312" w:eastAsia="仿宋_GB2312" w:hint="eastAsia"/>
          <w:sz w:val="32"/>
          <w:szCs w:val="32"/>
          <w:lang w:val="en-US" w:eastAsia="zh-CN"/>
        </w:rPr>
        <w:t>抓好市委中心组成员的理论学习和全市在职干部的理论学习及政治思想教育工作。</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rPr>
        <w:t>（</w:t>
      </w:r>
      <w:r>
        <w:rPr>
          <w:rFonts w:ascii="仿宋" w:eastAsia="仿宋" w:hAnsi="仿宋" w:cs="仿宋" w:hint="eastAsia"/>
          <w:sz w:val="32"/>
          <w:szCs w:val="32"/>
          <w:lang w:val="en-US" w:eastAsia="zh-CN"/>
        </w:rPr>
        <w:t>4</w:t>
      </w:r>
      <w:r>
        <w:rPr>
          <w:rFonts w:ascii="仿宋" w:eastAsia="仿宋" w:hAnsi="仿宋" w:cs="仿宋" w:hint="eastAsia"/>
          <w:sz w:val="32"/>
          <w:szCs w:val="32"/>
        </w:rPr>
        <w:t>）</w:t>
      </w:r>
      <w:r>
        <w:rPr>
          <w:rFonts w:ascii="仿宋" w:eastAsia="仿宋" w:hAnsi="仿宋" w:cs="仿宋" w:hint="eastAsia"/>
          <w:sz w:val="32"/>
          <w:szCs w:val="32"/>
          <w:lang w:val="en-US" w:eastAsia="zh-CN"/>
        </w:rPr>
        <w:t xml:space="preserve">调动全市新闻工作者和广大通讯员的积极性，大力强化内、外宣传工作，进一步扩大乌苏市的知名度和影响力。 </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(5)管理、指导、协调广播电视、群众文化、文艺创作、影像发行等工作。</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(6)指导精神文明建设工作。</w:t>
      </w:r>
    </w:p>
    <w:p>
      <w:pPr>
        <w:spacing w:line="560" w:lineRule="exact"/>
        <w:ind w:firstLine="640" w:firstLineChars="200"/>
        <w:rPr>
          <w:rStyle w:val="Strong"/>
          <w:rFonts w:ascii="仿宋_GB2312" w:eastAsia="仿宋_GB2312" w:hAnsi="仿宋_GB2312" w:cs="仿宋_GB2312"/>
          <w:bCs w:val="0"/>
          <w:color w:val="333333"/>
          <w:sz w:val="32"/>
          <w:szCs w:val="32"/>
          <w:lang w:bidi="ar"/>
        </w:rPr>
      </w:pPr>
      <w:r>
        <w:rPr>
          <w:rFonts w:ascii="仿宋" w:eastAsia="仿宋" w:hAnsi="仿宋" w:cs="仿宋" w:hint="eastAsia"/>
          <w:sz w:val="32"/>
          <w:szCs w:val="32"/>
          <w:lang w:val="en-US" w:eastAsia="zh-CN"/>
        </w:rPr>
        <w:t>(7)督促、检查社会文化市场的管理工作。八是完成上级交办的其他工作。</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eastAsia="zh-CN" w:bidi="ar"/>
          <w14:textFill>
            <w14:solidFill>
              <w14:schemeClr w14:val="tx1"/>
            </w14:solidFill>
          </w14:textFill>
        </w:rPr>
        <w:t>中共乌苏市委宣传部</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机关行政编制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名，其中：行政编制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7</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名，机关工勤事业编制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19</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名。实有人员</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人。</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3.年度重点工作</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Fonts w:ascii="仿宋_GB2312" w:eastAsia="仿宋_GB2312" w:hAnsi="仿宋_GB2312" w:cs="仿宋_GB2312" w:hint="eastAsia"/>
          <w:i w:val="0"/>
          <w:caps w:val="0"/>
          <w:color w:val="auto"/>
          <w:spacing w:val="0"/>
          <w:sz w:val="32"/>
          <w:szCs w:val="32"/>
          <w:highlight w:val="none"/>
          <w:shd w:val="clear" w:color="auto" w:fill="FFFFFF"/>
          <w:lang w:val="en-US" w:eastAsia="zh-CN"/>
        </w:rPr>
      </w:pPr>
      <w:r>
        <w:rPr>
          <w:rFonts w:ascii="仿宋_GB2312" w:eastAsia="仿宋_GB2312" w:hAnsi="仿宋_GB2312" w:cs="仿宋_GB2312" w:hint="eastAsia"/>
          <w:b/>
          <w:bCs/>
          <w:color w:val="auto"/>
          <w:kern w:val="0"/>
          <w:sz w:val="32"/>
          <w:szCs w:val="32"/>
          <w:highlight w:val="none"/>
          <w:lang w:val="en-US" w:eastAsia="zh-CN"/>
        </w:rPr>
        <w:t>一是</w:t>
      </w:r>
      <w:r>
        <w:rPr>
          <w:rFonts w:ascii="仿宋_GB2312" w:eastAsia="仿宋_GB2312" w:hAnsi="仿宋_GB2312" w:cs="仿宋_GB2312" w:hint="eastAsia"/>
          <w:color w:val="auto"/>
          <w:kern w:val="0"/>
          <w:sz w:val="32"/>
          <w:szCs w:val="32"/>
          <w:highlight w:val="none"/>
          <w:lang w:val="en-US" w:eastAsia="zh-CN"/>
        </w:rPr>
        <w:t>夯实思想理论基础，全力做好</w:t>
      </w:r>
      <w:r>
        <w:rPr>
          <w:rFonts w:ascii="仿宋_GB2312" w:eastAsia="仿宋_GB2312" w:hAnsi="仿宋_GB2312" w:cs="仿宋_GB2312" w:hint="eastAsia"/>
          <w:color w:val="auto"/>
          <w:kern w:val="0"/>
          <w:sz w:val="32"/>
          <w:szCs w:val="32"/>
          <w:highlight w:val="none"/>
          <w:shd w:val="clear" w:color="auto" w:fill="auto"/>
          <w:lang w:val="en-US" w:eastAsia="zh-CN"/>
        </w:rPr>
        <w:t>习近平总书记“七一”重要讲话精神的学习宣讲，组织好理论研讨会、宣讲报告会，深化“四史”宣传教育，推动铸牢中华民族共同体意识教育</w:t>
      </w:r>
      <w:r>
        <w:rPr>
          <w:rFonts w:ascii="仿宋_GB2312" w:eastAsia="仿宋_GB2312" w:hAnsi="仿宋_GB2312" w:cs="仿宋_GB2312" w:hint="eastAsia"/>
          <w:color w:val="auto"/>
          <w:kern w:val="0"/>
          <w:sz w:val="32"/>
          <w:szCs w:val="32"/>
          <w:highlight w:val="none"/>
          <w:lang w:val="en-US" w:eastAsia="zh-CN"/>
        </w:rPr>
        <w:t>。二</w:t>
      </w:r>
      <w:r>
        <w:rPr>
          <w:rFonts w:ascii="仿宋_GB2312" w:eastAsia="仿宋_GB2312" w:hAnsi="仿宋_GB2312" w:cs="仿宋_GB2312" w:hint="eastAsia"/>
          <w:b/>
          <w:bCs/>
          <w:color w:val="auto"/>
          <w:kern w:val="0"/>
          <w:sz w:val="32"/>
          <w:szCs w:val="32"/>
          <w:highlight w:val="none"/>
          <w:lang w:val="en-US" w:eastAsia="zh-CN"/>
        </w:rPr>
        <w:t>是</w:t>
      </w:r>
      <w:r>
        <w:rPr>
          <w:rFonts w:ascii="仿宋_GB2312" w:eastAsia="仿宋_GB2312" w:hAnsi="仿宋_GB2312" w:cs="仿宋_GB2312" w:hint="eastAsia"/>
          <w:color w:val="auto"/>
          <w:sz w:val="32"/>
          <w:szCs w:val="32"/>
          <w:highlight w:val="none"/>
          <w:lang w:val="en-US" w:eastAsia="zh-CN"/>
        </w:rPr>
        <w:t>精心组织好重大主题宣传，进一步提升融媒体中心建设运行能力，深化体制机制改革，建立资金保障机制，强化人才队伍建设，提升融合生产能力。</w:t>
      </w:r>
      <w:r>
        <w:rPr>
          <w:rFonts w:ascii="仿宋_GB2312" w:eastAsia="仿宋_GB2312" w:hAnsi="仿宋_GB2312" w:cs="仿宋_GB2312" w:hint="eastAsia"/>
          <w:b/>
          <w:bCs/>
          <w:color w:val="auto"/>
          <w:kern w:val="0"/>
          <w:sz w:val="32"/>
          <w:szCs w:val="32"/>
          <w:highlight w:val="none"/>
          <w:lang w:val="en-US" w:eastAsia="zh-CN"/>
        </w:rPr>
        <w:t>三是</w:t>
      </w:r>
      <w:r>
        <w:rPr>
          <w:rFonts w:ascii="仿宋_GB2312" w:eastAsia="仿宋_GB2312" w:hAnsi="仿宋_GB2312" w:cs="仿宋_GB2312" w:hint="eastAsia"/>
          <w:color w:val="auto"/>
          <w:sz w:val="32"/>
          <w:szCs w:val="32"/>
          <w:highlight w:val="none"/>
          <w:lang w:val="en-US" w:eastAsia="zh-CN"/>
        </w:rPr>
        <w:t>拓展新时代文明实践中心建设，加强示范点的打造，</w:t>
      </w:r>
      <w:r>
        <w:rPr>
          <w:rFonts w:ascii="仿宋_GB2312" w:eastAsia="仿宋_GB2312" w:hAnsi="仿宋_GB2312" w:cs="仿宋_GB2312" w:hint="eastAsia"/>
          <w:color w:val="auto"/>
          <w:sz w:val="32"/>
          <w:szCs w:val="32"/>
          <w:highlight w:val="none"/>
          <w:shd w:val="clear" w:color="auto" w:fill="FFFFFF"/>
        </w:rPr>
        <w:t>持续抓好实践所</w:t>
      </w:r>
      <w:r>
        <w:rPr>
          <w:rFonts w:ascii="仿宋_GB2312" w:eastAsia="仿宋_GB2312" w:hAnsi="仿宋_GB2312" w:cs="仿宋_GB2312" w:hint="eastAsia"/>
          <w:color w:val="auto"/>
          <w:sz w:val="32"/>
          <w:szCs w:val="32"/>
          <w:highlight w:val="none"/>
          <w:shd w:val="clear" w:color="auto" w:fill="FFFFFF"/>
          <w:lang w:eastAsia="zh-CN"/>
        </w:rPr>
        <w:t>、</w:t>
      </w:r>
      <w:r>
        <w:rPr>
          <w:rFonts w:ascii="仿宋_GB2312" w:eastAsia="仿宋_GB2312" w:hAnsi="仿宋_GB2312" w:cs="仿宋_GB2312" w:hint="eastAsia"/>
          <w:color w:val="auto"/>
          <w:sz w:val="32"/>
          <w:szCs w:val="32"/>
          <w:highlight w:val="none"/>
          <w:shd w:val="clear" w:color="auto" w:fill="FFFFFF"/>
        </w:rPr>
        <w:t>站的完善提升</w:t>
      </w:r>
      <w:r>
        <w:rPr>
          <w:rFonts w:ascii="仿宋_GB2312" w:eastAsia="仿宋_GB2312" w:hAnsi="仿宋_GB2312" w:cs="仿宋_GB2312" w:hint="eastAsia"/>
          <w:color w:val="auto"/>
          <w:sz w:val="32"/>
          <w:szCs w:val="32"/>
          <w:highlight w:val="none"/>
          <w:shd w:val="clear" w:color="auto" w:fill="FFFFFF"/>
          <w:lang w:eastAsia="zh-CN"/>
        </w:rPr>
        <w:t>工作</w:t>
      </w:r>
      <w:r>
        <w:rPr>
          <w:rFonts w:ascii="仿宋_GB2312" w:eastAsia="仿宋_GB2312" w:hAnsi="仿宋_GB2312" w:cs="仿宋_GB2312" w:hint="eastAsia"/>
          <w:i w:val="0"/>
          <w:caps w:val="0"/>
          <w:color w:val="auto"/>
          <w:spacing w:val="0"/>
          <w:sz w:val="32"/>
          <w:szCs w:val="32"/>
          <w:highlight w:val="none"/>
          <w:shd w:val="clear" w:color="auto" w:fill="FFFFFF"/>
        </w:rPr>
        <w:t>。加强精神文明建设</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，推进新时代公民道德建设、爱国主义教育，不断提升社会文明程度和公民文明素质。</w:t>
      </w:r>
      <w:r>
        <w:rPr>
          <w:rFonts w:ascii="仿宋_GB2312" w:eastAsia="仿宋_GB2312" w:hAnsi="仿宋_GB2312" w:cs="仿宋_GB2312" w:hint="eastAsia"/>
          <w:b/>
          <w:bCs/>
          <w:color w:val="auto"/>
          <w:kern w:val="0"/>
          <w:sz w:val="32"/>
          <w:szCs w:val="32"/>
          <w:highlight w:val="none"/>
          <w:lang w:val="en-US" w:eastAsia="zh-CN"/>
        </w:rPr>
        <w:t>四</w:t>
      </w:r>
      <w:r>
        <w:rPr>
          <w:rFonts w:ascii="仿宋_GB2312" w:eastAsia="仿宋_GB2312" w:hAnsi="仿宋_GB2312" w:cs="仿宋_GB2312" w:hint="eastAsia"/>
          <w:b/>
          <w:bCs/>
          <w:i w:val="0"/>
          <w:caps w:val="0"/>
          <w:color w:val="auto"/>
          <w:spacing w:val="0"/>
          <w:sz w:val="32"/>
          <w:szCs w:val="32"/>
          <w:highlight w:val="none"/>
          <w:shd w:val="clear" w:color="auto" w:fill="FFFFFF"/>
          <w:lang w:val="en-US" w:eastAsia="zh-CN"/>
        </w:rPr>
        <w:t>是</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深入实施文化润疆工程，建设新时代文化服务多功能阵地，繁荣文体活动，形成全民参与的强大氛围。充分挖掘乌苏特色文化，深耕细作文艺精品。</w:t>
      </w:r>
      <w:r>
        <w:rPr>
          <w:rFonts w:ascii="仿宋_GB2312" w:eastAsia="仿宋_GB2312" w:hAnsi="仿宋_GB2312" w:cs="仿宋_GB2312" w:hint="eastAsia"/>
          <w:b/>
          <w:bCs/>
          <w:color w:val="auto"/>
          <w:kern w:val="0"/>
          <w:sz w:val="32"/>
          <w:szCs w:val="32"/>
          <w:highlight w:val="none"/>
          <w:lang w:val="en-US" w:eastAsia="zh-CN"/>
        </w:rPr>
        <w:t>五是</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确保意识形态领域绝对安全。认真落实意识形态工作责任制，推进新时代新疆意识形态工作的贯彻落实，深入开展新疆历史教育，加强意识形态阵地建设管理，积极引导网上正面舆论，有效开展涉疆对外斗争，牢牢掌握意识形态工作领导权。</w:t>
      </w:r>
      <w:r>
        <w:rPr>
          <w:rFonts w:ascii="仿宋_GB2312" w:eastAsia="仿宋_GB2312" w:hAnsi="仿宋_GB2312" w:cs="仿宋_GB2312" w:hint="eastAsia"/>
          <w:b/>
          <w:bCs/>
          <w:color w:val="auto"/>
          <w:kern w:val="0"/>
          <w:sz w:val="32"/>
          <w:szCs w:val="32"/>
          <w:highlight w:val="none"/>
          <w:lang w:val="en-US" w:eastAsia="zh-CN"/>
        </w:rPr>
        <w:t>六是</w:t>
      </w:r>
      <w:r>
        <w:rPr>
          <w:rFonts w:ascii="仿宋_GB2312" w:eastAsia="仿宋_GB2312" w:hAnsi="仿宋_GB2312" w:cs="仿宋_GB2312" w:hint="eastAsia"/>
          <w:color w:val="auto"/>
          <w:kern w:val="0"/>
          <w:sz w:val="32"/>
          <w:szCs w:val="32"/>
          <w:highlight w:val="none"/>
          <w:lang w:val="en-US" w:eastAsia="zh-CN"/>
        </w:rPr>
        <w:t>深入贯彻《中国共产党宣传工作条例》，落实管党治党主体责任，加强党对</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宣传思想工作的全面领导。</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楷体_GB2312" w:eastAsia="楷体_GB2312" w:hAnsi="仿宋_GB2312" w:cs="仿宋_GB2312" w:hint="eastAsia"/>
          <w:bCs w:val="0"/>
          <w:color w:val="333333"/>
          <w:sz w:val="32"/>
          <w:szCs w:val="32"/>
          <w:lang w:val="en-US" w:eastAsia="zh-CN" w:bidi="ar"/>
        </w:rPr>
      </w:pPr>
      <w:r>
        <w:rPr>
          <w:rStyle w:val="Strong"/>
          <w:rFonts w:ascii="楷体_GB2312" w:eastAsia="楷体_GB2312" w:hAnsi="仿宋_GB2312" w:cs="仿宋_GB2312" w:hint="eastAsia"/>
          <w:bCs w:val="0"/>
          <w:color w:val="333333"/>
          <w:sz w:val="32"/>
          <w:szCs w:val="32"/>
          <w:lang w:val="en-US" w:eastAsia="zh-CN" w:bidi="ar"/>
        </w:rPr>
        <w:t>（二）决策过程</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部门项目立项依据充分，符合相关法规政策及部门职责，符合行业发展和政策要求，与部门职责范围相符，属于部门履职所需。符合中央、地</w:t>
      </w:r>
      <w:r>
        <w:rPr>
          <w:rStyle w:val="Strong"/>
          <w:rFonts w:ascii="仿宋_GB2312" w:eastAsia="仿宋_GB2312" w:hAnsi="仿宋_GB2312" w:cs="仿宋_GB2312" w:hint="eastAsia"/>
          <w:b w:val="0"/>
          <w:color w:val="333333"/>
          <w:sz w:val="32"/>
          <w:szCs w:val="32"/>
          <w:lang w:bidi="ar"/>
        </w:rPr>
        <w:t>方事务支出责任划分原则。</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项目立项程序规范，项目严格按照规定的程序申请设立；审批文件、材料符合相关要求；项目前期已经过必要的可行性研究、专家论证、风险评估、绩效评估、集体决策。部门整体绩效目标设置合理，根据相关文件要求设置了整体绩效目标，整体项目绩效目标基本合理，与实际工作内容相关；预期产出效益和效果符合正常的业绩水平；与预算确定的项目投资额或资金量相匹配。</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部门整体绩效指标明确，已将整体项目绩效目标细化分解为具体的绩效指标；可以通过清晰、可衡量的指标值予以体现；与整体项目目标任务数或计划数相对应。</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预算编制科学，整体项目在资金投入方面，预算编制经过科学论证、有明确标准，资金额度与年度目标相适应，用以反映和考核项目预算编制的科学性、合理性情况。</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资金分配合理，整体项目预算资金分配有测算依据，资金分配额度合理，与部门单位的实际情况相适应。</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重点支出保障率用以反映和考核部门对履行主要职责或完成重点任务的保障程度。我单位本年主要实施</w:t>
      </w:r>
      <w:r>
        <w:rPr>
          <w:rStyle w:val="Strong"/>
          <w:rFonts w:ascii="仿宋_GB2312" w:eastAsia="仿宋_GB2312" w:hAnsi="仿宋_GB2312" w:cs="仿宋_GB2312" w:hint="eastAsia"/>
          <w:b w:val="0"/>
          <w:sz w:val="32"/>
          <w:szCs w:val="32"/>
          <w:lang w:val="en-US" w:eastAsia="zh-CN" w:bidi="ar"/>
        </w:rPr>
        <w:t>3个</w:t>
      </w:r>
      <w:r>
        <w:rPr>
          <w:rStyle w:val="Strong"/>
          <w:rFonts w:ascii="仿宋_GB2312" w:eastAsia="仿宋_GB2312" w:hAnsi="仿宋_GB2312" w:cs="仿宋_GB2312" w:hint="eastAsia"/>
          <w:b w:val="0"/>
          <w:sz w:val="32"/>
          <w:szCs w:val="32"/>
          <w:lang w:bidi="ar"/>
        </w:rPr>
        <w:t>重点项目，履行了</w:t>
      </w:r>
      <w:r>
        <w:rPr>
          <w:rStyle w:val="Strong"/>
          <w:rFonts w:ascii="仿宋_GB2312" w:eastAsia="仿宋_GB2312" w:hAnsi="仿宋_GB2312" w:cs="仿宋_GB2312" w:hint="eastAsia"/>
          <w:b w:val="0"/>
          <w:sz w:val="32"/>
          <w:szCs w:val="32"/>
          <w:lang w:eastAsia="zh-CN" w:bidi="ar"/>
        </w:rPr>
        <w:t>中共乌苏市委宣传部</w:t>
      </w:r>
      <w:r>
        <w:rPr>
          <w:rStyle w:val="Strong"/>
          <w:rFonts w:ascii="仿宋_GB2312" w:eastAsia="仿宋_GB2312" w:hAnsi="仿宋_GB2312" w:cs="仿宋_GB2312" w:hint="eastAsia"/>
          <w:b w:val="0"/>
          <w:sz w:val="32"/>
          <w:szCs w:val="32"/>
          <w:lang w:bidi="ar"/>
        </w:rPr>
        <w:t>主要职责。</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本年度预算安排的重点项目支出</w:t>
      </w:r>
      <w:r>
        <w:rPr>
          <w:rStyle w:val="Strong"/>
          <w:rFonts w:ascii="仿宋_GB2312" w:eastAsia="仿宋_GB2312" w:hAnsi="仿宋_GB2312" w:cs="仿宋_GB2312" w:hint="eastAsia"/>
          <w:b w:val="0"/>
          <w:sz w:val="32"/>
          <w:szCs w:val="32"/>
          <w:lang w:val="en-US" w:eastAsia="zh-CN" w:bidi="ar"/>
        </w:rPr>
        <w:t>48.43</w:t>
      </w:r>
      <w:r>
        <w:rPr>
          <w:rStyle w:val="Strong"/>
          <w:rFonts w:ascii="仿宋_GB2312" w:eastAsia="仿宋_GB2312" w:hAnsi="仿宋_GB2312" w:cs="仿宋_GB2312" w:hint="eastAsia"/>
          <w:b w:val="0"/>
          <w:sz w:val="32"/>
          <w:szCs w:val="32"/>
          <w:lang w:bidi="ar"/>
        </w:rPr>
        <w:t>万元，项目总支出</w:t>
      </w:r>
      <w:r>
        <w:rPr>
          <w:rStyle w:val="Strong"/>
          <w:rFonts w:ascii="仿宋_GB2312" w:eastAsia="仿宋_GB2312" w:hAnsi="仿宋_GB2312" w:cs="仿宋_GB2312" w:hint="eastAsia"/>
          <w:b w:val="0"/>
          <w:sz w:val="32"/>
          <w:szCs w:val="32"/>
          <w:lang w:val="en-US" w:eastAsia="zh-CN" w:bidi="ar"/>
        </w:rPr>
        <w:t>93.78</w:t>
      </w:r>
      <w:r>
        <w:rPr>
          <w:rStyle w:val="Strong"/>
          <w:rFonts w:ascii="仿宋_GB2312" w:eastAsia="仿宋_GB2312" w:hAnsi="仿宋_GB2312" w:cs="仿宋_GB2312" w:hint="eastAsia"/>
          <w:b w:val="0"/>
          <w:sz w:val="32"/>
          <w:szCs w:val="32"/>
          <w:lang w:bidi="ar"/>
        </w:rPr>
        <w:t>万元，重点支出保障率为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我单位年初预算数为</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万元，实际预算执行数</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万元，年初预算执行率为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全年预算数为</w:t>
      </w:r>
      <w:r>
        <w:rPr>
          <w:rStyle w:val="Strong"/>
          <w:rFonts w:ascii="仿宋_GB2312" w:eastAsia="仿宋_GB2312" w:hAnsi="仿宋_GB2312" w:cs="仿宋_GB2312" w:hint="eastAsia"/>
          <w:b w:val="0"/>
          <w:sz w:val="32"/>
          <w:szCs w:val="32"/>
          <w:lang w:val="en-US" w:eastAsia="zh-CN" w:bidi="ar"/>
        </w:rPr>
        <w:t>477.93</w:t>
      </w:r>
      <w:r>
        <w:rPr>
          <w:rStyle w:val="Strong"/>
          <w:rFonts w:ascii="仿宋_GB2312" w:eastAsia="仿宋_GB2312" w:hAnsi="仿宋_GB2312" w:cs="仿宋_GB2312" w:hint="eastAsia"/>
          <w:b w:val="0"/>
          <w:sz w:val="32"/>
          <w:szCs w:val="32"/>
          <w:lang w:bidi="ar"/>
        </w:rPr>
        <w:t>万元，全年实际支出资金</w:t>
      </w:r>
      <w:r>
        <w:rPr>
          <w:rStyle w:val="Strong"/>
          <w:rFonts w:ascii="仿宋_GB2312" w:eastAsia="仿宋_GB2312" w:hAnsi="仿宋_GB2312" w:cs="仿宋_GB2312" w:hint="eastAsia"/>
          <w:b w:val="0"/>
          <w:sz w:val="32"/>
          <w:szCs w:val="32"/>
          <w:lang w:val="en-US" w:eastAsia="zh-CN" w:bidi="ar"/>
        </w:rPr>
        <w:t>425.82</w:t>
      </w:r>
      <w:r>
        <w:rPr>
          <w:rStyle w:val="Strong"/>
          <w:rFonts w:ascii="仿宋_GB2312" w:eastAsia="仿宋_GB2312" w:hAnsi="仿宋_GB2312" w:cs="仿宋_GB2312" w:hint="eastAsia"/>
          <w:b w:val="0"/>
          <w:sz w:val="32"/>
          <w:szCs w:val="32"/>
          <w:lang w:bidi="ar"/>
        </w:rPr>
        <w:t>万元，全年预算执行率为</w:t>
      </w:r>
      <w:r>
        <w:rPr>
          <w:rStyle w:val="Strong"/>
          <w:rFonts w:ascii="仿宋_GB2312" w:eastAsia="仿宋_GB2312" w:hAnsi="仿宋_GB2312" w:cs="仿宋_GB2312" w:hint="eastAsia"/>
          <w:b w:val="0"/>
          <w:sz w:val="32"/>
          <w:szCs w:val="32"/>
          <w:lang w:val="en-US" w:eastAsia="zh-CN" w:bidi="ar"/>
        </w:rPr>
        <w:t>89.1</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我单位年初批复预算数</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万元，年中调整数</w:t>
      </w:r>
      <w:r>
        <w:rPr>
          <w:rStyle w:val="Strong"/>
          <w:rFonts w:ascii="仿宋_GB2312" w:eastAsia="仿宋_GB2312" w:hAnsi="仿宋_GB2312" w:cs="仿宋_GB2312" w:hint="eastAsia"/>
          <w:b w:val="0"/>
          <w:sz w:val="32"/>
          <w:szCs w:val="32"/>
          <w:lang w:val="en-US" w:eastAsia="zh-CN" w:bidi="ar"/>
        </w:rPr>
        <w:t>153.51</w:t>
      </w:r>
      <w:r>
        <w:rPr>
          <w:rStyle w:val="Strong"/>
          <w:rFonts w:ascii="仿宋_GB2312" w:eastAsia="仿宋_GB2312" w:hAnsi="仿宋_GB2312" w:cs="仿宋_GB2312" w:hint="eastAsia"/>
          <w:b w:val="0"/>
          <w:sz w:val="32"/>
          <w:szCs w:val="32"/>
          <w:lang w:bidi="ar"/>
        </w:rPr>
        <w:t>万元，调整后全年预算数</w:t>
      </w:r>
      <w:r>
        <w:rPr>
          <w:rStyle w:val="Strong"/>
          <w:rFonts w:ascii="仿宋_GB2312" w:eastAsia="仿宋_GB2312" w:hAnsi="仿宋_GB2312" w:cs="仿宋_GB2312" w:hint="eastAsia"/>
          <w:b w:val="0"/>
          <w:sz w:val="32"/>
          <w:szCs w:val="32"/>
          <w:lang w:val="en-US" w:eastAsia="zh-CN" w:bidi="ar"/>
        </w:rPr>
        <w:t>477.93</w:t>
      </w:r>
      <w:r>
        <w:rPr>
          <w:rStyle w:val="Strong"/>
          <w:rFonts w:ascii="仿宋_GB2312" w:eastAsia="仿宋_GB2312" w:hAnsi="仿宋_GB2312" w:cs="仿宋_GB2312" w:hint="eastAsia"/>
          <w:b w:val="0"/>
          <w:sz w:val="32"/>
          <w:szCs w:val="32"/>
          <w:lang w:bidi="ar"/>
        </w:rPr>
        <w:t>万元，预算调整率</w:t>
      </w:r>
      <w:r>
        <w:rPr>
          <w:rStyle w:val="Strong"/>
          <w:rFonts w:ascii="仿宋_GB2312" w:eastAsia="仿宋_GB2312" w:hAnsi="仿宋_GB2312" w:cs="仿宋_GB2312" w:hint="eastAsia"/>
          <w:b w:val="0"/>
          <w:sz w:val="32"/>
          <w:szCs w:val="32"/>
          <w:lang w:val="en-US" w:eastAsia="zh-CN" w:bidi="ar"/>
        </w:rPr>
        <w:t>47.32</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年初政府采购预算数为</w:t>
      </w:r>
      <w:r>
        <w:rPr>
          <w:rStyle w:val="Strong"/>
          <w:rFonts w:ascii="仿宋_GB2312" w:eastAsia="仿宋_GB2312" w:hAnsi="仿宋_GB2312" w:cs="仿宋_GB2312" w:hint="eastAsia"/>
          <w:b w:val="0"/>
          <w:sz w:val="32"/>
          <w:szCs w:val="32"/>
          <w:lang w:val="en-US" w:eastAsia="zh-CN" w:bidi="ar"/>
        </w:rPr>
        <w:t>0</w:t>
      </w:r>
      <w:r>
        <w:rPr>
          <w:rStyle w:val="Strong"/>
          <w:rFonts w:ascii="仿宋_GB2312" w:eastAsia="仿宋_GB2312" w:hAnsi="仿宋_GB2312" w:cs="仿宋_GB2312" w:hint="eastAsia"/>
          <w:b w:val="0"/>
          <w:sz w:val="32"/>
          <w:szCs w:val="32"/>
          <w:lang w:bidi="ar"/>
        </w:rPr>
        <w:t>万元，实际政府采购数为</w:t>
      </w:r>
      <w:r>
        <w:rPr>
          <w:rStyle w:val="Strong"/>
          <w:rFonts w:ascii="仿宋_GB2312" w:eastAsia="仿宋_GB2312" w:hAnsi="仿宋_GB2312" w:cs="仿宋_GB2312" w:hint="eastAsia"/>
          <w:b w:val="0"/>
          <w:sz w:val="32"/>
          <w:szCs w:val="32"/>
          <w:lang w:val="en-US" w:eastAsia="zh-CN" w:bidi="ar"/>
        </w:rPr>
        <w:t>7.46</w:t>
      </w:r>
      <w:r>
        <w:rPr>
          <w:rStyle w:val="Strong"/>
          <w:rFonts w:ascii="仿宋_GB2312" w:eastAsia="仿宋_GB2312" w:hAnsi="仿宋_GB2312" w:cs="仿宋_GB2312" w:hint="eastAsia"/>
          <w:b w:val="0"/>
          <w:sz w:val="32"/>
          <w:szCs w:val="32"/>
          <w:lang w:bidi="ar"/>
        </w:rPr>
        <w:t>万元，年初政府采购执行率为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sz w:val="32"/>
          <w:szCs w:val="32"/>
          <w:lang w:bidi="ar"/>
        </w:rPr>
      </w:pPr>
      <w:r>
        <w:rPr>
          <w:rStyle w:val="Strong"/>
          <w:rFonts w:ascii="楷体_GB2312" w:eastAsia="楷体_GB2312" w:hAnsi="仿宋_GB2312" w:cs="仿宋_GB2312" w:hint="eastAsia"/>
          <w:bCs w:val="0"/>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bookmarkStart w:id="2" w:name="_Hlk49856735"/>
      <w:r>
        <w:rPr>
          <w:rStyle w:val="Strong"/>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color w:val="333333"/>
          <w:sz w:val="32"/>
          <w:szCs w:val="32"/>
          <w:lang w:bidi="ar"/>
        </w:rPr>
        <w:t>评价的对象及主要内容为:</w:t>
      </w:r>
      <w:r>
        <w:rPr>
          <w:rStyle w:val="Strong"/>
          <w:rFonts w:ascii="仿宋_GB2312" w:eastAsia="仿宋_GB2312" w:hAnsi="仿宋_GB2312" w:cs="仿宋_GB2312" w:hint="eastAsia"/>
          <w:b w:val="0"/>
          <w:bCs w:val="0"/>
          <w:color w:val="333333"/>
          <w:sz w:val="32"/>
          <w:szCs w:val="32"/>
          <w:lang w:bidi="ar"/>
        </w:rPr>
        <w:t>一是</w:t>
      </w:r>
      <w:r>
        <w:rPr>
          <w:rStyle w:val="Strong"/>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333333"/>
          <w:sz w:val="32"/>
          <w:szCs w:val="32"/>
          <w:lang w:bidi="ar"/>
        </w:rPr>
        <w:t>二是</w:t>
      </w:r>
      <w:r>
        <w:rPr>
          <w:rStyle w:val="Strong"/>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333333"/>
          <w:sz w:val="32"/>
          <w:szCs w:val="32"/>
          <w:lang w:bidi="ar"/>
        </w:rPr>
        <w:t>三是</w:t>
      </w:r>
      <w:r>
        <w:rPr>
          <w:rStyle w:val="Strong"/>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333333"/>
          <w:sz w:val="32"/>
          <w:szCs w:val="32"/>
          <w:lang w:bidi="ar"/>
        </w:rPr>
        <w:t>四是</w:t>
      </w:r>
      <w:r>
        <w:rPr>
          <w:rStyle w:val="Strong"/>
          <w:rFonts w:ascii="仿宋_GB2312" w:eastAsia="仿宋_GB2312" w:hAnsi="仿宋_GB2312" w:cs="仿宋_GB2312" w:hint="eastAsia"/>
          <w:b w:val="0"/>
          <w:color w:val="333333"/>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pPr>
        <w:pStyle w:val="ListParagraph"/>
        <w:numPr>
          <w:ilvl w:val="0"/>
          <w:numId w:val="0"/>
        </w:numPr>
        <w:snapToGrid w:val="0"/>
        <w:spacing w:line="540" w:lineRule="exact"/>
        <w:ind w:left="648" w:leftChars="0"/>
        <w:outlineLvl w:val="0"/>
        <w:rPr>
          <w:rFonts w:ascii="黑体" w:eastAsia="黑体" w:hAnsi="黑体" w:cs="仿宋_GB2312"/>
          <w:color w:val="333333"/>
          <w:sz w:val="32"/>
          <w:szCs w:val="32"/>
          <w:lang w:bidi="ar"/>
        </w:rPr>
      </w:pPr>
      <w:bookmarkStart w:id="3" w:name="_Toc32535_WPSOffice_Level1"/>
      <w:r>
        <w:rPr>
          <w:rFonts w:ascii="黑体" w:eastAsia="黑体" w:hAnsi="黑体" w:cs="仿宋_GB2312" w:hint="eastAsia"/>
          <w:color w:val="333333"/>
          <w:sz w:val="32"/>
          <w:szCs w:val="32"/>
          <w:lang w:eastAsia="zh-CN" w:bidi="ar"/>
        </w:rPr>
        <w:t>二、</w:t>
      </w:r>
      <w:r>
        <w:rPr>
          <w:rFonts w:ascii="黑体" w:eastAsia="黑体" w:hAnsi="黑体" w:cs="仿宋_GB2312" w:hint="eastAsia"/>
          <w:color w:val="333333"/>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本单位为加强预算管理，规范财务行为，已制定《</w:t>
      </w:r>
      <w:r>
        <w:rPr>
          <w:rStyle w:val="Strong"/>
          <w:rFonts w:ascii="仿宋_GB2312" w:eastAsia="仿宋_GB2312" w:hAnsi="仿宋_GB2312" w:cs="仿宋_GB2312" w:hint="eastAsia"/>
          <w:b w:val="0"/>
          <w:color w:val="333333"/>
          <w:sz w:val="32"/>
          <w:szCs w:val="32"/>
          <w:lang w:eastAsia="zh-CN" w:bidi="ar"/>
        </w:rPr>
        <w:t>中共乌苏市委宣传部</w:t>
      </w:r>
      <w:r>
        <w:rPr>
          <w:rStyle w:val="Strong"/>
          <w:rFonts w:ascii="仿宋_GB2312" w:eastAsia="仿宋_GB2312" w:hAnsi="仿宋_GB2312" w:cs="仿宋_GB2312" w:hint="eastAsia"/>
          <w:b w:val="0"/>
          <w:color w:val="333333"/>
          <w:sz w:val="32"/>
          <w:szCs w:val="32"/>
          <w:lang w:bidi="ar"/>
        </w:rPr>
        <w:t>预算绩效管理工作实施办法》，《</w:t>
      </w:r>
      <w:r>
        <w:rPr>
          <w:rStyle w:val="Strong"/>
          <w:rFonts w:ascii="仿宋_GB2312" w:eastAsia="仿宋_GB2312" w:hAnsi="仿宋_GB2312" w:cs="仿宋_GB2312" w:hint="eastAsia"/>
          <w:b w:val="0"/>
          <w:color w:val="333333"/>
          <w:sz w:val="32"/>
          <w:szCs w:val="32"/>
          <w:lang w:eastAsia="zh-CN" w:bidi="ar"/>
        </w:rPr>
        <w:t>中共乌苏市委宣传部</w:t>
      </w:r>
      <w:r>
        <w:rPr>
          <w:rStyle w:val="Strong"/>
          <w:rFonts w:ascii="仿宋_GB2312" w:eastAsia="仿宋_GB2312" w:hAnsi="仿宋_GB2312" w:cs="仿宋_GB2312" w:hint="eastAsia"/>
          <w:b w:val="0"/>
          <w:color w:val="333333"/>
          <w:sz w:val="32"/>
          <w:szCs w:val="32"/>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Fonts w:ascii="仿宋_GB2312" w:eastAsia="仿宋_GB2312" w:hAnsi="仿宋" w:cs="宋体" w:hint="eastAsia"/>
          <w:bCs/>
          <w:color w:val="333333"/>
          <w:sz w:val="32"/>
          <w:szCs w:val="32"/>
          <w:lang w:bidi="ar"/>
        </w:rPr>
        <w:t>按照</w:t>
      </w:r>
      <w:r>
        <w:rPr>
          <w:rFonts w:ascii="仿宋_GB2312" w:eastAsia="仿宋_GB2312" w:hAnsi="仿宋" w:cs="宋体" w:hint="eastAsia"/>
          <w:bCs/>
          <w:color w:val="333333"/>
          <w:sz w:val="32"/>
          <w:szCs w:val="32"/>
          <w:lang w:eastAsia="zh-CN" w:bidi="ar"/>
        </w:rPr>
        <w:t>乌苏市</w:t>
      </w:r>
      <w:r>
        <w:rPr>
          <w:rFonts w:ascii="仿宋_GB2312" w:eastAsia="仿宋_GB2312" w:hAnsi="仿宋" w:cs="宋体" w:hint="eastAsia"/>
          <w:bCs/>
          <w:color w:val="333333"/>
          <w:sz w:val="32"/>
          <w:szCs w:val="32"/>
          <w:lang w:bidi="ar"/>
        </w:rPr>
        <w:t>财政局预决算信息公开工作要求，我单位在</w:t>
      </w:r>
      <w:r>
        <w:rPr>
          <w:rFonts w:ascii="仿宋_GB2312" w:eastAsia="仿宋_GB2312" w:hAnsi="仿宋" w:cs="宋体" w:hint="eastAsia"/>
          <w:bCs/>
          <w:color w:val="333333"/>
          <w:sz w:val="32"/>
          <w:szCs w:val="32"/>
          <w:lang w:eastAsia="zh-CN" w:bidi="ar"/>
        </w:rPr>
        <w:t>乌苏市</w:t>
      </w:r>
      <w:r>
        <w:rPr>
          <w:rFonts w:ascii="仿宋_GB2312" w:eastAsia="仿宋_GB2312" w:hAnsi="仿宋" w:cs="宋体" w:hint="eastAsia"/>
          <w:bCs/>
          <w:color w:val="333333"/>
          <w:sz w:val="32"/>
          <w:szCs w:val="32"/>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2022年本单位基本支出全年预算总额</w:t>
      </w:r>
      <w:r>
        <w:rPr>
          <w:rStyle w:val="Strong"/>
          <w:rFonts w:ascii="仿宋_GB2312" w:eastAsia="仿宋_GB2312" w:hAnsi="仿宋_GB2312" w:cs="仿宋_GB2312" w:hint="eastAsia"/>
          <w:b w:val="0"/>
          <w:sz w:val="32"/>
          <w:szCs w:val="32"/>
          <w:lang w:val="en-US" w:eastAsia="zh-CN" w:bidi="ar"/>
        </w:rPr>
        <w:t>384.15</w:t>
      </w:r>
      <w:r>
        <w:rPr>
          <w:rStyle w:val="Strong"/>
          <w:rFonts w:ascii="仿宋_GB2312" w:eastAsia="仿宋_GB2312" w:hAnsi="仿宋_GB2312" w:cs="仿宋_GB2312" w:hint="eastAsia"/>
          <w:b w:val="0"/>
          <w:sz w:val="32"/>
          <w:szCs w:val="32"/>
          <w:lang w:bidi="ar"/>
        </w:rPr>
        <w:t>万元，其中：人员经费</w:t>
      </w:r>
      <w:r>
        <w:rPr>
          <w:rStyle w:val="Strong"/>
          <w:rFonts w:ascii="仿宋_GB2312" w:eastAsia="仿宋_GB2312" w:hAnsi="仿宋_GB2312" w:cs="仿宋_GB2312" w:hint="eastAsia"/>
          <w:b w:val="0"/>
          <w:sz w:val="32"/>
          <w:szCs w:val="32"/>
          <w:lang w:val="en-US" w:eastAsia="zh-CN" w:bidi="ar"/>
        </w:rPr>
        <w:t>329.65</w:t>
      </w:r>
      <w:r>
        <w:rPr>
          <w:rStyle w:val="Strong"/>
          <w:rFonts w:ascii="仿宋_GB2312" w:eastAsia="仿宋_GB2312" w:hAnsi="仿宋_GB2312" w:cs="仿宋_GB2312" w:hint="eastAsia"/>
          <w:b w:val="0"/>
          <w:sz w:val="32"/>
          <w:szCs w:val="32"/>
          <w:lang w:bidi="ar"/>
        </w:rPr>
        <w:t>万元，公用经费</w:t>
      </w:r>
      <w:r>
        <w:rPr>
          <w:rStyle w:val="Strong"/>
          <w:rFonts w:ascii="仿宋_GB2312" w:eastAsia="仿宋_GB2312" w:hAnsi="仿宋_GB2312" w:cs="仿宋_GB2312" w:hint="eastAsia"/>
          <w:b w:val="0"/>
          <w:sz w:val="32"/>
          <w:szCs w:val="32"/>
          <w:lang w:val="en-US" w:eastAsia="zh-CN" w:bidi="ar"/>
        </w:rPr>
        <w:t>54.5</w:t>
      </w:r>
      <w:r>
        <w:rPr>
          <w:rStyle w:val="Strong"/>
          <w:rFonts w:ascii="仿宋_GB2312" w:eastAsia="仿宋_GB2312" w:hAnsi="仿宋_GB2312" w:cs="仿宋_GB2312" w:hint="eastAsia"/>
          <w:b w:val="0"/>
          <w:sz w:val="32"/>
          <w:szCs w:val="32"/>
          <w:lang w:bidi="ar"/>
        </w:rPr>
        <w:t>万元。实际支出</w:t>
      </w:r>
      <w:r>
        <w:rPr>
          <w:rStyle w:val="Strong"/>
          <w:rFonts w:ascii="仿宋_GB2312" w:eastAsia="仿宋_GB2312" w:hAnsi="仿宋_GB2312" w:cs="仿宋_GB2312" w:hint="eastAsia"/>
          <w:b w:val="0"/>
          <w:sz w:val="32"/>
          <w:szCs w:val="32"/>
          <w:lang w:val="en-US" w:eastAsia="zh-CN" w:bidi="ar"/>
        </w:rPr>
        <w:t>332.04</w:t>
      </w:r>
      <w:r>
        <w:rPr>
          <w:rStyle w:val="Strong"/>
          <w:rFonts w:ascii="仿宋_GB2312" w:eastAsia="仿宋_GB2312" w:hAnsi="仿宋_GB2312" w:cs="仿宋_GB2312" w:hint="eastAsia"/>
          <w:b w:val="0"/>
          <w:sz w:val="32"/>
          <w:szCs w:val="32"/>
          <w:lang w:bidi="ar"/>
        </w:rPr>
        <w:t>万元，基本支出预算执行率</w:t>
      </w:r>
      <w:r>
        <w:rPr>
          <w:rStyle w:val="Strong"/>
          <w:rFonts w:ascii="仿宋_GB2312" w:eastAsia="仿宋_GB2312" w:hAnsi="仿宋_GB2312" w:cs="仿宋_GB2312" w:hint="eastAsia"/>
          <w:b w:val="0"/>
          <w:sz w:val="32"/>
          <w:szCs w:val="32"/>
          <w:lang w:val="en-US" w:eastAsia="zh-CN" w:bidi="ar"/>
        </w:rPr>
        <w:t>100.73%</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2.三公经费控制情况</w:t>
      </w:r>
    </w:p>
    <w:p>
      <w:pPr>
        <w:pStyle w:val="ListParagraph"/>
        <w:snapToGrid w:val="0"/>
        <w:spacing w:line="540" w:lineRule="exact"/>
        <w:ind w:firstLine="640"/>
        <w:rPr>
          <w:rFonts w:ascii="仿宋_GB2312" w:eastAsia="仿宋_GB2312" w:hAnsi="仿宋" w:cs="宋体"/>
          <w:bCs/>
          <w:color w:val="333333"/>
          <w:sz w:val="32"/>
          <w:szCs w:val="32"/>
          <w:lang w:bidi="ar"/>
        </w:rPr>
      </w:pPr>
      <w:r>
        <w:rPr>
          <w:rFonts w:ascii="仿宋_GB2312" w:eastAsia="仿宋_GB2312" w:hAnsi="仿宋" w:cs="宋体" w:hint="eastAsia"/>
          <w:bCs/>
          <w:color w:val="333333"/>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只减不增。2022年</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预算为</w:t>
      </w:r>
      <w:r>
        <w:rPr>
          <w:rFonts w:ascii="仿宋_GB2312" w:eastAsia="仿宋_GB2312" w:hAnsi="仿宋" w:cs="宋体" w:hint="eastAsia"/>
          <w:bCs/>
          <w:color w:val="333333"/>
          <w:sz w:val="32"/>
          <w:szCs w:val="32"/>
          <w:lang w:val="en-US" w:eastAsia="zh-CN" w:bidi="ar"/>
        </w:rPr>
        <w:t>6.38</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控制率为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%，其中：因公出国（境）费预算为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万元；公务接待费预算为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万元；公务用车购置费预算为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万元；公务用车运行维护费预算为</w:t>
      </w:r>
      <w:r>
        <w:rPr>
          <w:rFonts w:ascii="仿宋_GB2312" w:eastAsia="仿宋_GB2312" w:hAnsi="仿宋" w:cs="宋体" w:hint="eastAsia"/>
          <w:bCs/>
          <w:color w:val="333333"/>
          <w:sz w:val="32"/>
          <w:szCs w:val="32"/>
          <w:lang w:val="en-US" w:eastAsia="zh-CN" w:bidi="ar"/>
        </w:rPr>
        <w:t>6.38</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万元，公务用车运行维护费控制率</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2022年本单位安排专项支出预算总额</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44.95</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万元，实际支出</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44.95</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万元，专项支出预算执行率</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100%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2022年本单位共有</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个资金项目，其中</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个属经常性项目、</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个属当年度新增项</w:t>
      </w:r>
      <w:r>
        <w:rPr>
          <w:rStyle w:val="Strong"/>
          <w:rFonts w:ascii="仿宋_GB2312" w:eastAsia="仿宋_GB2312" w:hAnsi="仿宋_GB2312" w:cs="仿宋_GB2312" w:hint="eastAsia"/>
          <w:b w:val="0"/>
          <w:sz w:val="32"/>
          <w:szCs w:val="32"/>
          <w:lang w:bidi="ar"/>
        </w:rPr>
        <w:t>目，已完成项目</w:t>
      </w:r>
      <w:r>
        <w:rPr>
          <w:rStyle w:val="Strong"/>
          <w:rFonts w:ascii="仿宋_GB2312" w:eastAsia="仿宋_GB2312" w:hAnsi="仿宋_GB2312" w:cs="仿宋_GB2312" w:hint="eastAsia"/>
          <w:b w:val="0"/>
          <w:sz w:val="32"/>
          <w:szCs w:val="32"/>
          <w:lang w:val="en-US" w:eastAsia="zh-CN" w:bidi="ar"/>
        </w:rPr>
        <w:t>3</w:t>
      </w:r>
      <w:r>
        <w:rPr>
          <w:rStyle w:val="Strong"/>
          <w:rFonts w:ascii="仿宋_GB2312" w:eastAsia="仿宋_GB2312" w:hAnsi="仿宋_GB2312" w:cs="仿宋_GB2312" w:hint="eastAsia"/>
          <w:b w:val="0"/>
          <w:sz w:val="32"/>
          <w:szCs w:val="32"/>
          <w:lang w:bidi="ar"/>
        </w:rPr>
        <w:t>个、未完成项目</w:t>
      </w:r>
      <w:r>
        <w:rPr>
          <w:rStyle w:val="Strong"/>
          <w:rFonts w:ascii="仿宋_GB2312" w:eastAsia="仿宋_GB2312" w:hAnsi="仿宋_GB2312" w:cs="仿宋_GB2312" w:hint="eastAsia"/>
          <w:b w:val="0"/>
          <w:sz w:val="32"/>
          <w:szCs w:val="32"/>
          <w:lang w:val="en-US" w:eastAsia="zh-CN" w:bidi="ar"/>
        </w:rPr>
        <w:t>0</w:t>
      </w:r>
      <w:r>
        <w:rPr>
          <w:rStyle w:val="Strong"/>
          <w:rFonts w:ascii="仿宋_GB2312" w:eastAsia="仿宋_GB2312" w:hAnsi="仿宋_GB2312" w:cs="仿宋_GB2312" w:hint="eastAsia"/>
          <w:b w:val="0"/>
          <w:sz w:val="32"/>
          <w:szCs w:val="32"/>
          <w:lang w:bidi="ar"/>
        </w:rPr>
        <w:t>个。</w:t>
      </w:r>
    </w:p>
    <w:p>
      <w:pPr>
        <w:snapToGrid w:val="0"/>
        <w:spacing w:line="540" w:lineRule="exact"/>
        <w:ind w:left="648"/>
        <w:outlineLvl w:val="0"/>
        <w:rPr>
          <w:rFonts w:ascii="黑体" w:eastAsia="黑体" w:hAnsi="黑体" w:cs="仿宋_GB2312"/>
          <w:color w:val="333333"/>
          <w:sz w:val="32"/>
          <w:szCs w:val="32"/>
          <w:lang w:bidi="ar"/>
        </w:rPr>
      </w:pPr>
      <w:bookmarkStart w:id="4" w:name="_Toc1734_WPSOffice_Level1"/>
      <w:r>
        <w:rPr>
          <w:rFonts w:ascii="黑体" w:eastAsia="黑体" w:hAnsi="黑体" w:cs="仿宋_GB2312" w:hint="eastAsia"/>
          <w:color w:val="333333"/>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3个以内的项目分项说明：本年我单位供实施</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个项目，金额</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93.78</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万元，分别为2019-2022年社区工作队为民办实事经费项目，42.83万元；塔地财教[2022]2号少数民族地区和边疆地区文化安全补助资金项目，</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6</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万元；2022年中央补助地方公共文化服务体系建设补助资金（第二批）预算的通知》（塔地财教〔2022〕26号）项目，44.95万元；</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bCs w:val="0"/>
          <w:spacing w:val="-4"/>
          <w:sz w:val="32"/>
          <w:szCs w:val="32"/>
        </w:rPr>
        <w:t>（一）</w:t>
      </w:r>
      <w:r>
        <w:rPr>
          <w:rFonts w:ascii="楷体_GB2312" w:eastAsia="楷体_GB2312" w:hAnsi="仿宋_GB2312" w:cs="仿宋_GB2312" w:hint="eastAsia"/>
          <w:b/>
          <w:color w:val="333333"/>
          <w:sz w:val="32"/>
          <w:szCs w:val="32"/>
          <w:lang w:bidi="ar"/>
        </w:rPr>
        <w:t>单位</w:t>
      </w:r>
      <w:r>
        <w:rPr>
          <w:rStyle w:val="Strong"/>
          <w:rFonts w:ascii="楷体_GB2312" w:eastAsia="楷体_GB2312" w:hAnsi="仿宋_GB2312" w:cs="仿宋_GB2312" w:hint="eastAsia"/>
          <w:bCs w:val="0"/>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我单位成立</w:t>
      </w:r>
      <w:r>
        <w:rPr>
          <w:rStyle w:val="Strong"/>
          <w:rFonts w:ascii="仿宋" w:eastAsia="仿宋" w:hAnsi="仿宋" w:cs="仿宋" w:hint="eastAsia"/>
          <w:b w:val="0"/>
          <w:sz w:val="32"/>
          <w:szCs w:val="32"/>
          <w:lang w:bidi="ar"/>
        </w:rPr>
        <w:t>整体支出绩效自评工作</w:t>
      </w:r>
      <w:r>
        <w:rPr>
          <w:rStyle w:val="Strong"/>
          <w:rFonts w:ascii="仿宋" w:eastAsia="仿宋" w:hAnsi="仿宋" w:cs="仿宋" w:hint="eastAsia"/>
          <w:b w:val="0"/>
          <w:sz w:val="32"/>
          <w:szCs w:val="32"/>
          <w:lang w:eastAsia="zh-CN" w:bidi="ar"/>
        </w:rPr>
        <w:t>领导</w:t>
      </w:r>
      <w:r>
        <w:rPr>
          <w:rStyle w:val="Strong"/>
          <w:rFonts w:ascii="仿宋_GB2312" w:eastAsia="仿宋_GB2312" w:hAnsi="仿宋_GB2312" w:cs="仿宋_GB2312" w:hint="eastAsia"/>
          <w:b w:val="0"/>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隋静</w:t>
      </w:r>
      <w:r>
        <w:rPr>
          <w:rStyle w:val="Strong"/>
          <w:rFonts w:ascii="仿宋_GB2312" w:eastAsia="仿宋_GB2312" w:hAnsi="仿宋_GB2312" w:cs="仿宋_GB2312" w:hint="eastAsia"/>
          <w:b w:val="0"/>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郭勇</w:t>
      </w:r>
      <w:r>
        <w:rPr>
          <w:rStyle w:val="Strong"/>
          <w:rFonts w:ascii="仿宋_GB2312" w:eastAsia="仿宋_GB2312" w:hAnsi="仿宋_GB2312" w:cs="仿宋_GB2312" w:hint="eastAsia"/>
          <w:b w:val="0"/>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徐志超、张婷皓、李占朋</w:t>
      </w:r>
      <w:r>
        <w:rPr>
          <w:rStyle w:val="Strong"/>
          <w:rFonts w:ascii="仿宋_GB2312" w:eastAsia="仿宋_GB2312" w:hAnsi="仿宋_GB2312" w:cs="仿宋_GB2312" w:hint="eastAsia"/>
          <w:b w:val="0"/>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1.项目资金情况</w:t>
      </w:r>
    </w:p>
    <w:p>
      <w:pPr>
        <w:pStyle w:val="ListParagraph"/>
        <w:snapToGrid w:val="0"/>
        <w:spacing w:line="540" w:lineRule="exact"/>
        <w:ind w:firstLine="624"/>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b w:val="0"/>
          <w:bCs w:val="0"/>
          <w:spacing w:val="-4"/>
          <w:sz w:val="32"/>
          <w:szCs w:val="32"/>
        </w:rPr>
        <w:t>项目预算资金</w:t>
      </w:r>
      <w:r>
        <w:rPr>
          <w:rStyle w:val="Strong"/>
          <w:rFonts w:ascii="仿宋_GB2312" w:eastAsia="仿宋_GB2312" w:hAnsi="仿宋_GB2312" w:cs="仿宋_GB2312" w:hint="eastAsia"/>
          <w:b w:val="0"/>
          <w:bCs w:val="0"/>
          <w:spacing w:val="-4"/>
          <w:sz w:val="32"/>
          <w:szCs w:val="32"/>
          <w:lang w:val="en-US" w:eastAsia="zh-CN"/>
        </w:rPr>
        <w:t>48.83</w:t>
      </w:r>
      <w:r>
        <w:rPr>
          <w:rStyle w:val="Strong"/>
          <w:rFonts w:ascii="仿宋_GB2312" w:eastAsia="仿宋_GB2312" w:hAnsi="仿宋_GB2312" w:cs="仿宋_GB2312" w:hint="eastAsia"/>
          <w:b w:val="0"/>
          <w:bCs w:val="0"/>
          <w:spacing w:val="-4"/>
          <w:sz w:val="32"/>
          <w:szCs w:val="32"/>
        </w:rPr>
        <w:t>万元，实际到位</w:t>
      </w:r>
      <w:r>
        <w:rPr>
          <w:rStyle w:val="Strong"/>
          <w:rFonts w:ascii="仿宋_GB2312" w:eastAsia="仿宋_GB2312" w:hAnsi="仿宋_GB2312" w:cs="仿宋_GB2312" w:hint="eastAsia"/>
          <w:b w:val="0"/>
          <w:bCs w:val="0"/>
          <w:spacing w:val="-4"/>
          <w:sz w:val="32"/>
          <w:szCs w:val="32"/>
          <w:lang w:val="en-US" w:eastAsia="zh-CN"/>
        </w:rPr>
        <w:t>93.78</w:t>
      </w:r>
      <w:r>
        <w:rPr>
          <w:rStyle w:val="Strong"/>
          <w:rFonts w:ascii="仿宋_GB2312" w:eastAsia="仿宋_GB2312" w:hAnsi="仿宋_GB2312" w:cs="仿宋_GB2312" w:hint="eastAsia"/>
          <w:b w:val="0"/>
          <w:bCs w:val="0"/>
          <w:spacing w:val="-4"/>
          <w:sz w:val="32"/>
          <w:szCs w:val="32"/>
        </w:rPr>
        <w:t>万元，实际支出</w:t>
      </w:r>
      <w:r>
        <w:rPr>
          <w:rStyle w:val="Strong"/>
          <w:rFonts w:ascii="仿宋_GB2312" w:eastAsia="仿宋_GB2312" w:hAnsi="仿宋_GB2312" w:cs="仿宋_GB2312" w:hint="eastAsia"/>
          <w:b w:val="0"/>
          <w:bCs w:val="0"/>
          <w:spacing w:val="-4"/>
          <w:sz w:val="32"/>
          <w:szCs w:val="32"/>
          <w:lang w:val="en-US" w:eastAsia="zh-CN"/>
        </w:rPr>
        <w:t>93.78</w:t>
      </w:r>
      <w:r>
        <w:rPr>
          <w:rStyle w:val="Strong"/>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变、范围超支和虚列项目支出等情况；项目严格按照《</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中共乌苏市委宣传部</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财务管理制度》执行项目资金，实行专账核算、</w:t>
      </w:r>
      <w:r>
        <w:rPr>
          <w:rStyle w:val="Strong"/>
          <w:rFonts w:ascii="仿宋_GB2312" w:eastAsia="仿宋_GB2312" w:hAnsi="仿宋_GB2312" w:cs="仿宋_GB2312" w:hint="eastAsia"/>
          <w:b w:val="0"/>
          <w:bCs w:val="0"/>
          <w:spacing w:val="-4"/>
          <w:sz w:val="32"/>
          <w:szCs w:val="32"/>
        </w:rPr>
        <w:t>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项目组织情况：</w:t>
      </w:r>
      <w:r>
        <w:rPr>
          <w:rStyle w:val="Strong"/>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项目管理情况：</w:t>
      </w:r>
      <w:r>
        <w:rPr>
          <w:rStyle w:val="Strong"/>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项目监管情况：</w:t>
      </w:r>
      <w:r>
        <w:rPr>
          <w:rStyle w:val="Strong"/>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成本控制情况：</w:t>
      </w:r>
      <w:r>
        <w:rPr>
          <w:rStyle w:val="Strong"/>
          <w:rFonts w:ascii="仿宋_GB2312" w:eastAsia="仿宋_GB2312" w:hAnsi="仿宋_GB2312" w:cs="仿宋_GB2312" w:hint="eastAsia"/>
          <w:b w:val="0"/>
          <w:bCs w:val="0"/>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成本节约情况：</w:t>
      </w:r>
      <w:r>
        <w:rPr>
          <w:rStyle w:val="Strong"/>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项目实施进度：</w:t>
      </w:r>
      <w:r>
        <w:rPr>
          <w:rStyle w:val="Strong"/>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项目完成质量：</w:t>
      </w:r>
      <w:r>
        <w:rPr>
          <w:rStyle w:val="Strong"/>
          <w:rFonts w:ascii="仿宋_GB2312" w:eastAsia="仿宋_GB2312" w:hAnsi="仿宋_GB2312" w:cs="仿宋_GB2312" w:hint="eastAsia"/>
          <w:b w:val="0"/>
          <w:bCs w:val="0"/>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spacing w:val="-4"/>
          <w:sz w:val="32"/>
          <w:szCs w:val="32"/>
        </w:rPr>
        <w:t>预期目标完成程度：</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项目实施对效益的影响：</w:t>
      </w:r>
      <w:r>
        <w:rPr>
          <w:rStyle w:val="Strong"/>
          <w:rFonts w:ascii="仿宋_GB2312" w:eastAsia="仿宋_GB2312" w:hAnsi="仿宋_GB2312" w:cs="仿宋_GB2312" w:hint="eastAsia"/>
          <w:b w:val="0"/>
          <w:bCs w:val="0"/>
          <w:spacing w:val="-4"/>
          <w:sz w:val="32"/>
          <w:szCs w:val="32"/>
        </w:rPr>
        <w:t>项目的实施有效提升了培训人员的绩效管理意识，持续保障了培训工作的顺利开展。</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5" w:name="_Toc27846_WPSOffice_Level1"/>
      <w:r>
        <w:rPr>
          <w:rStyle w:val="Strong"/>
          <w:rFonts w:ascii="黑体" w:eastAsia="黑体" w:hAnsi="黑体" w:cs="仿宋_GB2312" w:hint="eastAsia"/>
          <w:b w:val="0"/>
          <w:spacing w:val="-4"/>
          <w:sz w:val="32"/>
          <w:szCs w:val="32"/>
          <w:lang w:eastAsia="zh-CN"/>
        </w:rPr>
        <w:t>四、</w:t>
      </w:r>
      <w:r>
        <w:rPr>
          <w:rStyle w:val="Strong"/>
          <w:rFonts w:ascii="黑体" w:eastAsia="黑体" w:hAnsi="黑体" w:cs="仿宋_GB2312" w:hint="eastAsia"/>
          <w:b w:val="0"/>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（一）资产管理规范性</w:t>
      </w:r>
    </w:p>
    <w:p>
      <w:pPr>
        <w:pStyle w:val="ListParagraph"/>
        <w:snapToGrid w:val="0"/>
        <w:spacing w:line="540" w:lineRule="exact"/>
        <w:ind w:firstLine="640"/>
        <w:rPr>
          <w:rFonts w:ascii="仿宋_GB2312" w:eastAsia="仿宋_GB2312" w:hAnsi="仿宋" w:cs="宋体"/>
          <w:bCs/>
          <w:color w:val="FF0000"/>
          <w:sz w:val="32"/>
          <w:szCs w:val="32"/>
          <w:lang w:bidi="ar"/>
        </w:rPr>
      </w:pPr>
      <w:r>
        <w:rPr>
          <w:rFonts w:ascii="仿宋_GB2312" w:eastAsia="仿宋_GB2312" w:hAnsi="仿宋" w:cs="宋体" w:hint="eastAsia"/>
          <w:bCs/>
          <w:color w:val="000000" w:themeColor="text1"/>
          <w:sz w:val="32"/>
          <w:szCs w:val="32"/>
          <w:lang w:bidi="ar"/>
          <w14:textFill>
            <w14:solidFill>
              <w14:schemeClr w14:val="tx1"/>
            </w14:solidFill>
          </w14:textFill>
        </w:rPr>
        <w:t>我单位2022年资产合计数为</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Fonts w:ascii="仿宋_GB2312" w:eastAsia="仿宋_GB2312" w:hAnsi="仿宋" w:cs="宋体" w:hint="eastAsia"/>
          <w:bCs/>
          <w:color w:val="000000" w:themeColor="text1"/>
          <w:sz w:val="32"/>
          <w:szCs w:val="32"/>
          <w:lang w:bidi="ar"/>
          <w14:textFill>
            <w14:solidFill>
              <w14:schemeClr w14:val="tx1"/>
            </w14:solidFill>
          </w14:textFill>
        </w:rPr>
        <w:t>万元，货币资金减少，其中：货币资金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万元，比上年减少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万元；财政应返还额度</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万元，比上年相比无变化；房屋</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200</w:t>
      </w:r>
      <w:r>
        <w:rPr>
          <w:rFonts w:ascii="仿宋_GB2312" w:eastAsia="仿宋_GB2312" w:hAnsi="仿宋" w:cs="宋体" w:hint="eastAsia"/>
          <w:bCs/>
          <w:color w:val="000000" w:themeColor="text1"/>
          <w:sz w:val="32"/>
          <w:szCs w:val="32"/>
          <w:lang w:bidi="ar"/>
          <w14:textFill>
            <w14:solidFill>
              <w14:schemeClr w14:val="tx1"/>
            </w14:solidFill>
          </w14:textFill>
        </w:rPr>
        <w:t>平方米</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w:t>
      </w:r>
      <w:r>
        <w:rPr>
          <w:rFonts w:ascii="仿宋_GB2312" w:eastAsia="仿宋_GB2312" w:hAnsi="仿宋" w:cs="宋体" w:hint="eastAsia"/>
          <w:bCs/>
          <w:color w:val="000000" w:themeColor="text1"/>
          <w:sz w:val="32"/>
          <w:szCs w:val="32"/>
          <w:lang w:bidi="ar"/>
          <w14:textFill>
            <w14:solidFill>
              <w14:schemeClr w14:val="tx1"/>
            </w14:solidFill>
          </w14:textFill>
        </w:rPr>
        <w:t>万元，比上年减少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万元；车辆</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6</w:t>
      </w:r>
      <w:r>
        <w:rPr>
          <w:rFonts w:ascii="仿宋_GB2312" w:eastAsia="仿宋_GB2312" w:hAnsi="仿宋" w:cs="宋体" w:hint="eastAsia"/>
          <w:bCs/>
          <w:color w:val="000000" w:themeColor="text1"/>
          <w:sz w:val="32"/>
          <w:szCs w:val="32"/>
          <w:lang w:bidi="ar"/>
          <w14:textFill>
            <w14:solidFill>
              <w14:schemeClr w14:val="tx1"/>
            </w14:solidFill>
          </w14:textFill>
        </w:rPr>
        <w:t>辆</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78.28</w:t>
      </w:r>
      <w:r>
        <w:rPr>
          <w:rFonts w:ascii="仿宋_GB2312" w:eastAsia="仿宋_GB2312" w:hAnsi="仿宋" w:cs="宋体" w:hint="eastAsia"/>
          <w:bCs/>
          <w:color w:val="000000" w:themeColor="text1"/>
          <w:sz w:val="32"/>
          <w:szCs w:val="32"/>
          <w:lang w:bidi="ar"/>
          <w14:textFill>
            <w14:solidFill>
              <w14:schemeClr w14:val="tx1"/>
            </w14:solidFill>
          </w14:textFill>
        </w:rPr>
        <w:t>万元，与上年相比无变化；在建工程</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万元，与上年持平；办公设备及家具</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8.75</w:t>
      </w:r>
      <w:r>
        <w:rPr>
          <w:rFonts w:ascii="仿宋_GB2312" w:eastAsia="仿宋_GB2312" w:hAnsi="仿宋" w:cs="宋体" w:hint="eastAsia"/>
          <w:bCs/>
          <w:color w:val="000000" w:themeColor="text1"/>
          <w:sz w:val="32"/>
          <w:szCs w:val="32"/>
          <w:lang w:bidi="ar"/>
          <w14:textFill>
            <w14:solidFill>
              <w14:schemeClr w14:val="tx1"/>
            </w14:solidFill>
          </w14:textFill>
        </w:rPr>
        <w:t>万元，与上年相比无变化。我单位本年无资产处置情况，资产配置合理，使用规范，安全完整。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333333"/>
          <w:sz w:val="32"/>
          <w:szCs w:val="32"/>
          <w:lang w:bidi="ar"/>
        </w:rPr>
      </w:pPr>
      <w:r>
        <w:rPr>
          <w:rFonts w:ascii="仿宋_GB2312" w:eastAsia="仿宋_GB2312" w:hAnsi="仿宋" w:cs="宋体" w:hint="eastAsia"/>
          <w:b/>
          <w:bCs/>
          <w:color w:val="333333"/>
          <w:sz w:val="32"/>
          <w:szCs w:val="32"/>
          <w:lang w:bidi="ar"/>
        </w:rPr>
        <w:t>1.资产管理情况。</w:t>
      </w:r>
    </w:p>
    <w:p>
      <w:pPr>
        <w:pStyle w:val="ListParagraph"/>
        <w:snapToGrid w:val="0"/>
        <w:spacing w:line="540" w:lineRule="exact"/>
        <w:ind w:firstLine="640"/>
        <w:rPr>
          <w:rFonts w:ascii="仿宋_GB2312" w:eastAsia="仿宋_GB2312" w:hAnsi="仿宋" w:cs="宋体"/>
          <w:bCs/>
          <w:color w:val="333333"/>
          <w:sz w:val="32"/>
          <w:szCs w:val="32"/>
          <w:lang w:bidi="ar"/>
        </w:rPr>
      </w:pPr>
      <w:r>
        <w:rPr>
          <w:rFonts w:ascii="仿宋_GB2312" w:eastAsia="仿宋_GB2312"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333333"/>
          <w:sz w:val="32"/>
          <w:szCs w:val="32"/>
          <w:lang w:bidi="ar"/>
        </w:rPr>
      </w:pPr>
      <w:r>
        <w:rPr>
          <w:rFonts w:ascii="仿宋_GB2312" w:eastAsia="仿宋_GB2312" w:hAnsi="仿宋" w:cs="宋体" w:hint="eastAsia"/>
          <w:b/>
          <w:bCs/>
          <w:color w:val="333333"/>
          <w:sz w:val="32"/>
          <w:szCs w:val="32"/>
          <w:lang w:bidi="ar"/>
        </w:rPr>
        <w:t>2.固定资产利用情况。</w:t>
      </w:r>
    </w:p>
    <w:p>
      <w:pPr>
        <w:pStyle w:val="ListParagraph"/>
        <w:snapToGrid w:val="0"/>
        <w:spacing w:line="540" w:lineRule="exact"/>
        <w:ind w:firstLine="640"/>
        <w:rPr>
          <w:rFonts w:ascii="仿宋_GB2312" w:eastAsia="仿宋_GB2312" w:hAnsi="仿宋" w:cs="宋体"/>
          <w:bCs/>
          <w:color w:val="000000" w:themeColor="text1"/>
          <w:sz w:val="32"/>
          <w:szCs w:val="32"/>
          <w:lang w:bidi="ar"/>
          <w14:textFill>
            <w14:solidFill>
              <w14:schemeClr w14:val="tx1"/>
            </w14:solidFill>
          </w14:textFill>
        </w:rPr>
      </w:pPr>
      <w:r>
        <w:rPr>
          <w:rFonts w:ascii="仿宋_GB2312" w:eastAsia="仿宋_GB2312" w:hAnsi="仿宋" w:cs="宋体" w:hint="eastAsia"/>
          <w:bCs/>
          <w:color w:val="333333"/>
          <w:sz w:val="32"/>
          <w:szCs w:val="32"/>
          <w:lang w:bidi="ar"/>
        </w:rPr>
        <w:t>我单位固定资产</w:t>
      </w:r>
      <w:r>
        <w:rPr>
          <w:rFonts w:ascii="仿宋_GB2312" w:eastAsia="仿宋_GB2312" w:hAnsi="仿宋" w:cs="宋体" w:hint="eastAsia"/>
          <w:bCs/>
          <w:color w:val="333333"/>
          <w:sz w:val="32"/>
          <w:szCs w:val="32"/>
          <w:lang w:val="en-US" w:eastAsia="zh-CN" w:bidi="ar"/>
        </w:rPr>
        <w:t>351.5</w:t>
      </w:r>
      <w:r>
        <w:rPr>
          <w:rFonts w:ascii="仿宋_GB2312" w:eastAsia="仿宋_GB2312" w:hAnsi="仿宋" w:cs="宋体" w:hint="eastAsia"/>
          <w:bCs/>
          <w:color w:val="333333"/>
          <w:sz w:val="32"/>
          <w:szCs w:val="32"/>
          <w:lang w:bidi="ar"/>
        </w:rPr>
        <w:t>万元,其中:</w:t>
      </w:r>
      <w:r>
        <w:rPr>
          <w:rFonts w:ascii="仿宋_GB2312" w:eastAsia="仿宋_GB2312" w:hAnsi="仿宋" w:cs="宋体" w:hint="eastAsia"/>
          <w:bCs/>
          <w:color w:val="333333"/>
          <w:sz w:val="32"/>
          <w:szCs w:val="32"/>
          <w:lang w:val="en-US" w:eastAsia="zh-CN" w:bidi="ar"/>
        </w:rPr>
        <w:t>1</w:t>
      </w:r>
      <w:r>
        <w:rPr>
          <w:rFonts w:ascii="仿宋_GB2312" w:eastAsia="仿宋_GB2312" w:hAnsi="仿宋" w:cs="宋体" w:hint="eastAsia"/>
          <w:bCs/>
          <w:color w:val="333333"/>
          <w:sz w:val="32"/>
          <w:szCs w:val="32"/>
          <w:lang w:bidi="ar"/>
        </w:rPr>
        <w:t>套房屋</w:t>
      </w:r>
      <w:r>
        <w:rPr>
          <w:rFonts w:ascii="仿宋_GB2312" w:eastAsia="仿宋_GB2312" w:hAnsi="仿宋" w:cs="宋体" w:hint="eastAsia"/>
          <w:bCs/>
          <w:color w:val="333333"/>
          <w:sz w:val="32"/>
          <w:szCs w:val="32"/>
          <w:lang w:val="en-US" w:eastAsia="zh-CN" w:bidi="ar"/>
        </w:rPr>
        <w:t>10</w:t>
      </w:r>
      <w:r>
        <w:rPr>
          <w:rFonts w:ascii="仿宋_GB2312" w:eastAsia="仿宋_GB2312" w:hAnsi="仿宋" w:cs="宋体" w:hint="eastAsia"/>
          <w:bCs/>
          <w:color w:val="333333"/>
          <w:sz w:val="32"/>
          <w:szCs w:val="32"/>
          <w:lang w:bidi="ar"/>
        </w:rPr>
        <w:t>万元，</w:t>
      </w:r>
      <w:r>
        <w:rPr>
          <w:rFonts w:ascii="仿宋_GB2312" w:eastAsia="仿宋_GB2312" w:hAnsi="仿宋" w:cs="宋体" w:hint="eastAsia"/>
          <w:bCs/>
          <w:color w:val="333333"/>
          <w:sz w:val="32"/>
          <w:szCs w:val="32"/>
          <w:lang w:val="en-US" w:eastAsia="zh-CN" w:bidi="ar"/>
        </w:rPr>
        <w:t>6</w:t>
      </w:r>
      <w:r>
        <w:rPr>
          <w:rFonts w:ascii="仿宋_GB2312" w:eastAsia="仿宋_GB2312" w:hAnsi="仿宋" w:cs="宋体" w:hint="eastAsia"/>
          <w:bCs/>
          <w:color w:val="000000" w:themeColor="text1"/>
          <w:sz w:val="32"/>
          <w:szCs w:val="32"/>
          <w:lang w:bidi="ar"/>
          <w14:textFill>
            <w14:solidFill>
              <w14:schemeClr w14:val="tx1"/>
            </w14:solidFill>
          </w14:textFill>
        </w:rPr>
        <w:t>辆车</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78.28</w:t>
      </w:r>
      <w:r>
        <w:rPr>
          <w:rFonts w:ascii="仿宋_GB2312" w:eastAsia="仿宋_GB2312" w:hAnsi="仿宋" w:cs="宋体" w:hint="eastAsia"/>
          <w:bCs/>
          <w:color w:val="000000" w:themeColor="text1"/>
          <w:sz w:val="32"/>
          <w:szCs w:val="32"/>
          <w:lang w:bidi="ar"/>
          <w14:textFill>
            <w14:solidFill>
              <w14:schemeClr w14:val="tx1"/>
            </w14:solidFill>
          </w14:textFill>
        </w:rPr>
        <w:t>万元，</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w:t>
      </w:r>
      <w:r>
        <w:rPr>
          <w:rFonts w:ascii="仿宋_GB2312" w:eastAsia="仿宋_GB2312" w:hAnsi="仿宋" w:cs="宋体" w:hint="eastAsia"/>
          <w:bCs/>
          <w:color w:val="000000" w:themeColor="text1"/>
          <w:sz w:val="32"/>
          <w:szCs w:val="32"/>
          <w:lang w:bidi="ar"/>
          <w14:textFill>
            <w14:solidFill>
              <w14:schemeClr w14:val="tx1"/>
            </w14:solidFill>
          </w14:textFill>
        </w:rPr>
        <w:t>个专用设备</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0.098</w:t>
      </w:r>
      <w:r>
        <w:rPr>
          <w:rFonts w:ascii="仿宋_GB2312" w:eastAsia="仿宋_GB2312" w:hAnsi="仿宋" w:cs="宋体" w:hint="eastAsia"/>
          <w:bCs/>
          <w:color w:val="000000" w:themeColor="text1"/>
          <w:sz w:val="32"/>
          <w:szCs w:val="32"/>
          <w:lang w:bidi="ar"/>
          <w14:textFill>
            <w14:solidFill>
              <w14:schemeClr w14:val="tx1"/>
            </w14:solidFill>
          </w14:textFill>
        </w:rPr>
        <w:t>万元，</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w:t>
      </w:r>
      <w:r>
        <w:rPr>
          <w:rFonts w:ascii="仿宋_GB2312" w:eastAsia="仿宋_GB2312" w:hAnsi="仿宋" w:cs="宋体" w:hint="eastAsia"/>
          <w:bCs/>
          <w:color w:val="000000" w:themeColor="text1"/>
          <w:sz w:val="32"/>
          <w:szCs w:val="32"/>
          <w:lang w:bidi="ar"/>
          <w14:textFill>
            <w14:solidFill>
              <w14:schemeClr w14:val="tx1"/>
            </w14:solidFill>
          </w14:textFill>
        </w:rPr>
        <w:t>个办公设备</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8.75</w:t>
      </w:r>
      <w:r>
        <w:rPr>
          <w:rFonts w:ascii="仿宋_GB2312" w:eastAsia="仿宋_GB2312" w:hAnsi="仿宋" w:cs="宋体" w:hint="eastAsia"/>
          <w:bCs/>
          <w:color w:val="000000" w:themeColor="text1"/>
          <w:sz w:val="32"/>
          <w:szCs w:val="32"/>
          <w:lang w:bidi="ar"/>
          <w14:textFill>
            <w14:solidFill>
              <w14:schemeClr w14:val="tx1"/>
            </w14:solidFill>
          </w14:textFill>
        </w:rPr>
        <w:t>万元。目前正在使用的固定资产总额</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Fonts w:ascii="仿宋_GB2312" w:eastAsia="仿宋_GB2312" w:hAnsi="仿宋" w:cs="宋体" w:hint="eastAsia"/>
          <w:bCs/>
          <w:color w:val="000000" w:themeColor="text1"/>
          <w:sz w:val="32"/>
          <w:szCs w:val="32"/>
          <w:lang w:bidi="ar"/>
          <w14:textFill>
            <w14:solidFill>
              <w14:schemeClr w14:val="tx1"/>
            </w14:solidFill>
          </w14:textFill>
        </w:rPr>
        <w:t>万元，固定资产利用率为</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100</w:t>
      </w:r>
      <w:r>
        <w:rPr>
          <w:rFonts w:ascii="仿宋_GB2312" w:eastAsia="仿宋_GB2312" w:hAnsi="仿宋" w:cs="宋体"/>
          <w:bCs/>
          <w:color w:val="000000" w:themeColor="text1"/>
          <w:sz w:val="32"/>
          <w:szCs w:val="32"/>
          <w:lang w:bidi="ar"/>
          <w14:textFill>
            <w14:solidFill>
              <w14:schemeClr w14:val="tx1"/>
            </w14:solidFill>
          </w14:textFill>
        </w:rPr>
        <w:t>%</w:t>
      </w:r>
      <w:r>
        <w:rPr>
          <w:rFonts w:ascii="仿宋_GB2312" w:eastAsia="仿宋_GB2312" w:hAnsi="仿宋" w:cs="宋体" w:hint="eastAsia"/>
          <w:bCs/>
          <w:color w:val="000000" w:themeColor="text1"/>
          <w:sz w:val="32"/>
          <w:szCs w:val="32"/>
          <w:lang w:bidi="ar"/>
          <w14:textFill>
            <w14:solidFill>
              <w14:schemeClr w14:val="tx1"/>
            </w14:solidFill>
          </w14:textFill>
        </w:rPr>
        <w:t>。</w:t>
      </w:r>
    </w:p>
    <w:p>
      <w:pPr>
        <w:pStyle w:val="ListParagraph"/>
        <w:snapToGrid w:val="0"/>
        <w:spacing w:line="540" w:lineRule="exact"/>
        <w:ind w:firstLine="627"/>
        <w:rPr>
          <w:rStyle w:val="Strong"/>
          <w:rFonts w:ascii="仿宋_GB2312" w:eastAsia="仿宋_GB2312" w:hAnsi="仿宋"/>
          <w:bCs w:val="0"/>
          <w:color w:val="000000" w:themeColor="text1"/>
          <w:spacing w:val="-4"/>
          <w:sz w:val="32"/>
          <w:szCs w:val="32"/>
          <w14:textFill>
            <w14:solidFill>
              <w14:schemeClr w14:val="tx1"/>
            </w14:solidFill>
          </w14:textFill>
        </w:rPr>
      </w:pPr>
      <w:r>
        <w:rPr>
          <w:rStyle w:val="Strong"/>
          <w:rFonts w:ascii="仿宋_GB2312" w:eastAsia="仿宋_GB2312" w:hAnsi="仿宋" w:hint="eastAsia"/>
          <w:bCs w:val="0"/>
          <w:spacing w:val="-4"/>
          <w:sz w:val="32"/>
          <w:szCs w:val="32"/>
        </w:rPr>
        <w:t>3.</w:t>
      </w:r>
      <w:r>
        <w:rPr>
          <w:rStyle w:val="Strong"/>
          <w:rFonts w:ascii="仿宋_GB2312" w:eastAsia="仿宋_GB2312" w:hAnsi="仿宋" w:hint="eastAsia"/>
          <w:bCs w:val="0"/>
          <w:color w:val="000000" w:themeColor="text1"/>
          <w:spacing w:val="-4"/>
          <w:sz w:val="32"/>
          <w:szCs w:val="32"/>
          <w14:textFill>
            <w14:solidFill>
              <w14:schemeClr w14:val="tx1"/>
            </w14:solidFill>
          </w14:textFill>
        </w:rPr>
        <w:t>流动资产管理情况。</w:t>
      </w:r>
    </w:p>
    <w:p>
      <w:pPr>
        <w:pStyle w:val="ListParagraph"/>
        <w:snapToGrid w:val="0"/>
        <w:spacing w:line="540" w:lineRule="exact"/>
        <w:ind w:firstLine="624"/>
        <w:rPr>
          <w:rStyle w:val="Strong"/>
          <w:rFonts w:ascii="仿宋_GB2312" w:eastAsia="仿宋_GB2312" w:hAnsi="仿宋_GB2312" w:cs="仿宋_GB2312"/>
          <w:color w:val="000000" w:themeColor="text1"/>
          <w:spacing w:val="-4"/>
          <w:sz w:val="32"/>
          <w:szCs w:val="32"/>
          <w14:textFill>
            <w14:solidFill>
              <w14:schemeClr w14:val="tx1"/>
            </w14:solidFill>
          </w14:textFill>
        </w:rPr>
      </w:pPr>
      <w:r>
        <w:rPr>
          <w:rStyle w:val="Strong"/>
          <w:rFonts w:ascii="仿宋_GB2312" w:eastAsia="仿宋_GB2312" w:hAnsi="仿宋" w:hint="eastAsia"/>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截止本年度固定资产账面净值</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140.42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万元，年末实际在用固定资产</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万元，固定资产利用率为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6" w:name="_Toc13582_WPSOffice_Level1"/>
      <w:r>
        <w:rPr>
          <w:rStyle w:val="Strong"/>
          <w:rFonts w:ascii="黑体" w:eastAsia="黑体" w:hAnsi="黑体" w:cs="仿宋_GB2312" w:hint="eastAsia"/>
          <w:b w:val="0"/>
          <w:spacing w:val="-4"/>
          <w:sz w:val="32"/>
          <w:szCs w:val="32"/>
          <w:lang w:eastAsia="zh-CN"/>
        </w:rPr>
        <w:t>五、</w:t>
      </w:r>
      <w:r>
        <w:rPr>
          <w:rStyle w:val="Strong"/>
          <w:rFonts w:ascii="黑体" w:eastAsia="黑体" w:hAnsi="黑体" w:cs="仿宋_GB2312" w:hint="eastAsia"/>
          <w:b w:val="0"/>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部门单位整体支出自评表，共设置一级指标3个，二级指标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7</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个，三级指标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“在职人数”指标，预期指标值为“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22人</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22人</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“项目个数”指标，预期指标值为“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4个</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4个</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“培训场次”指标，预期指标值为“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4次</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4次</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质量指标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“项目按时完成率”预期指标是等于</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%，达到质量提升及标准。</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时效指标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“资金发放及时率”指标，预期指标是</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大</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等于</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“运转保障支出成本”指标，预期指标是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29.62万元</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2.39</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未达</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预期目标，未完成的原因是：</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压缩办公经费支出。</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项目支出成本</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48.83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93.78</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人员保障支出成本</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245.97</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329.65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%，达到成本控制及改善目标。</w:t>
      </w:r>
    </w:p>
    <w:p>
      <w:pPr>
        <w:pStyle w:val="ListParagraph"/>
        <w:snapToGrid w:val="0"/>
        <w:spacing w:line="540" w:lineRule="exact"/>
        <w:ind w:left="0" w:firstLine="320" w:leftChars="0" w:firstLineChars="1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1.项目实施的经济效益分析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无</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效益指标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“提高干部职工的业余文化生活”指标；预</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期</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指标值：有所提升；实际完成值为</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有所提升</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color w:val="FF0000"/>
          <w:spacing w:val="-4"/>
          <w:sz w:val="32"/>
          <w:szCs w:val="32"/>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社会效益指标共计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个，达到单位履职能力对社会带来的影响预期目标，社会效益指标完成。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3.项目实施的生态效益分析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无</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效益指标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“政策知晓率”指标；预</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期</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指标值：有所提升；实际完成值为</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有所提升</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可持续影响指标共计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“受益群众满意度”，预期指标值为“≥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“职工满意度”，预期指标值为“≥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个，达到部门服务对象对部门履职效果的满意度，服务对象满意度指标完成。</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7" w:name="_Toc22800_WPSOffice_Level1"/>
      <w:r>
        <w:rPr>
          <w:rStyle w:val="Strong"/>
          <w:rFonts w:ascii="黑体" w:eastAsia="黑体" w:hAnsi="黑体" w:cs="仿宋_GB2312" w:hint="eastAsia"/>
          <w:b w:val="0"/>
          <w:spacing w:val="-4"/>
          <w:sz w:val="32"/>
          <w:szCs w:val="32"/>
          <w:lang w:eastAsia="zh-CN"/>
        </w:rPr>
        <w:t>六、</w:t>
      </w:r>
      <w:r>
        <w:rPr>
          <w:rStyle w:val="Strong"/>
          <w:rFonts w:ascii="黑体" w:eastAsia="黑体" w:hAnsi="黑体" w:cs="仿宋_GB2312" w:hint="eastAsia"/>
          <w:b w:val="0"/>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8" w:name="_Toc29546_WPSOffice_Level1"/>
      <w:r>
        <w:rPr>
          <w:rStyle w:val="Strong"/>
          <w:rFonts w:ascii="黑体" w:eastAsia="黑体" w:hAnsi="黑体" w:cs="仿宋_GB2312" w:hint="eastAsia"/>
          <w:b w:val="0"/>
          <w:spacing w:val="-4"/>
          <w:sz w:val="32"/>
          <w:szCs w:val="32"/>
          <w:lang w:eastAsia="zh-CN"/>
        </w:rPr>
        <w:t>七、</w:t>
      </w:r>
      <w:r>
        <w:rPr>
          <w:rStyle w:val="Strong"/>
          <w:rFonts w:ascii="黑体" w:eastAsia="黑体" w:hAnsi="黑体" w:cs="仿宋_GB2312" w:hint="eastAsia"/>
          <w:b w:val="0"/>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（一）改进措施</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2.提高资金使用效益。在遵守法律法规的前提下，统筹兼顾、量力而行、讲求绩效，圆满完成党中央、自治区和地区决策部署提出的各项要求。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5.强化支出预算约束，进一步提高年初预算编制的科学性和准确性，完善预算执行动态约束机制，加强财政预算资金管理，统筹协调推进项目执行，提高财政资金效益和效果。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6.强化内部控制管理，严格按规定做好绩效目标申报、自评、公开等相关工作，提高财政资金使用绩效；加强实物资产管理，健全资产管理制度，规范资产清查和核算。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spacing w:val="-4"/>
          <w:sz w:val="32"/>
          <w:szCs w:val="32"/>
        </w:rPr>
      </w:pPr>
      <w:r>
        <w:rPr>
          <w:rStyle w:val="Strong"/>
          <w:rFonts w:ascii="楷体_GB2312" w:eastAsia="楷体_GB2312" w:hAnsi="仿宋_GB2312" w:cs="仿宋_GB2312" w:hint="eastAsia"/>
          <w:b w:val="0"/>
          <w:bCs w:val="0"/>
          <w:spacing w:val="-4"/>
          <w:sz w:val="32"/>
          <w:szCs w:val="32"/>
        </w:rPr>
        <w:t>（</w:t>
      </w:r>
      <w:r>
        <w:rPr>
          <w:rStyle w:val="Strong"/>
          <w:rFonts w:ascii="楷体_GB2312" w:eastAsia="楷体_GB2312" w:hAnsi="仿宋_GB2312" w:cs="仿宋_GB2312" w:hint="eastAsia"/>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1</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3</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4.</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在保证资金安全的前提下加快资金支出进度，支出条件已经成熟的项目，抓紧报销，尽快形成有效支出。</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6</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Heading1"/>
        <w:spacing w:line="570" w:lineRule="exact"/>
        <w:ind w:firstLine="640"/>
        <w:rPr>
          <w:rFonts w:ascii="黑体" w:hAnsi="黑体"/>
          <w:b w:val="0"/>
          <w:sz w:val="32"/>
          <w:szCs w:val="32"/>
        </w:rPr>
      </w:pPr>
      <w:r>
        <w:rPr>
          <w:rFonts w:ascii="黑体" w:hAnsi="黑体" w:hint="eastAsia"/>
          <w:b w:val="0"/>
          <w:sz w:val="32"/>
          <w:szCs w:val="32"/>
        </w:rPr>
        <w:t>八、附表</w:t>
      </w:r>
    </w:p>
    <w:p>
      <w:pPr>
        <w:spacing w:line="570" w:lineRule="exact"/>
        <w:ind w:firstLine="640"/>
        <w:rPr>
          <w:rFonts w:ascii="仿宋_GB2312" w:eastAsia="仿宋_GB2312"/>
          <w:sz w:val="32"/>
          <w:szCs w:val="32"/>
        </w:rPr>
      </w:pPr>
      <w:r>
        <w:rPr>
          <w:rFonts w:ascii="仿宋_GB2312" w:eastAsia="仿宋_GB2312" w:hint="eastAsia"/>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FF0000"/>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6E78"/>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4FF0482"/>
    <w:rsid w:val="05062887"/>
    <w:rsid w:val="05517D8F"/>
    <w:rsid w:val="05F70F85"/>
    <w:rsid w:val="06344BDD"/>
    <w:rsid w:val="07521D56"/>
    <w:rsid w:val="084208C4"/>
    <w:rsid w:val="084F59D8"/>
    <w:rsid w:val="08BF2A89"/>
    <w:rsid w:val="098A3C0A"/>
    <w:rsid w:val="0A9A7091"/>
    <w:rsid w:val="0CA603B4"/>
    <w:rsid w:val="10C55989"/>
    <w:rsid w:val="10F81AB2"/>
    <w:rsid w:val="10FE60D7"/>
    <w:rsid w:val="115304C1"/>
    <w:rsid w:val="11F2698D"/>
    <w:rsid w:val="135920FD"/>
    <w:rsid w:val="1400658C"/>
    <w:rsid w:val="15085607"/>
    <w:rsid w:val="15F42FA6"/>
    <w:rsid w:val="1652223F"/>
    <w:rsid w:val="175D58E3"/>
    <w:rsid w:val="18061B60"/>
    <w:rsid w:val="18484B93"/>
    <w:rsid w:val="190C3DF8"/>
    <w:rsid w:val="19A33356"/>
    <w:rsid w:val="19BD5829"/>
    <w:rsid w:val="19F83E30"/>
    <w:rsid w:val="1B403139"/>
    <w:rsid w:val="1C6D319F"/>
    <w:rsid w:val="1CF33199"/>
    <w:rsid w:val="1D3249B2"/>
    <w:rsid w:val="1D4D74D6"/>
    <w:rsid w:val="1DE32CFD"/>
    <w:rsid w:val="1EF3769B"/>
    <w:rsid w:val="1F1A602A"/>
    <w:rsid w:val="1F2854B6"/>
    <w:rsid w:val="20FA3423"/>
    <w:rsid w:val="21C768CD"/>
    <w:rsid w:val="22E14253"/>
    <w:rsid w:val="22EA4D88"/>
    <w:rsid w:val="23F209A3"/>
    <w:rsid w:val="2403516E"/>
    <w:rsid w:val="256A2A9E"/>
    <w:rsid w:val="262C1676"/>
    <w:rsid w:val="2805537E"/>
    <w:rsid w:val="289437EE"/>
    <w:rsid w:val="2B85011E"/>
    <w:rsid w:val="2C1529EC"/>
    <w:rsid w:val="2CAA3C7F"/>
    <w:rsid w:val="2CAA4BCE"/>
    <w:rsid w:val="2CD3445F"/>
    <w:rsid w:val="2CD36F96"/>
    <w:rsid w:val="2EBF757D"/>
    <w:rsid w:val="31B83F5F"/>
    <w:rsid w:val="328E2AB6"/>
    <w:rsid w:val="329B12EA"/>
    <w:rsid w:val="33A83F87"/>
    <w:rsid w:val="355C2B3F"/>
    <w:rsid w:val="35F12468"/>
    <w:rsid w:val="35F80B60"/>
    <w:rsid w:val="36851B5C"/>
    <w:rsid w:val="3790500F"/>
    <w:rsid w:val="37D360CA"/>
    <w:rsid w:val="38CB5066"/>
    <w:rsid w:val="3A3760E9"/>
    <w:rsid w:val="3C752CBB"/>
    <w:rsid w:val="3F301058"/>
    <w:rsid w:val="4107414D"/>
    <w:rsid w:val="417A34F9"/>
    <w:rsid w:val="418810F4"/>
    <w:rsid w:val="41A37673"/>
    <w:rsid w:val="42C30950"/>
    <w:rsid w:val="42C95507"/>
    <w:rsid w:val="45A65C7F"/>
    <w:rsid w:val="468C2A4A"/>
    <w:rsid w:val="46AD2493"/>
    <w:rsid w:val="46EC7F14"/>
    <w:rsid w:val="47D77C9A"/>
    <w:rsid w:val="48365487"/>
    <w:rsid w:val="48AF4C7F"/>
    <w:rsid w:val="4900592E"/>
    <w:rsid w:val="498468CA"/>
    <w:rsid w:val="49A21467"/>
    <w:rsid w:val="4A3D27F7"/>
    <w:rsid w:val="4A81677A"/>
    <w:rsid w:val="4B3C5E56"/>
    <w:rsid w:val="4C7317C7"/>
    <w:rsid w:val="4DA177B2"/>
    <w:rsid w:val="4DF36D4F"/>
    <w:rsid w:val="4EB41A1D"/>
    <w:rsid w:val="4EFE3238"/>
    <w:rsid w:val="501B7C76"/>
    <w:rsid w:val="504D5CCF"/>
    <w:rsid w:val="52B87BC5"/>
    <w:rsid w:val="533A7469"/>
    <w:rsid w:val="53526129"/>
    <w:rsid w:val="53D320FD"/>
    <w:rsid w:val="565F61A9"/>
    <w:rsid w:val="57232FC4"/>
    <w:rsid w:val="572D2326"/>
    <w:rsid w:val="57365691"/>
    <w:rsid w:val="57FB49D0"/>
    <w:rsid w:val="58913599"/>
    <w:rsid w:val="59EE1E48"/>
    <w:rsid w:val="5A333009"/>
    <w:rsid w:val="5A490F5C"/>
    <w:rsid w:val="5A4A3414"/>
    <w:rsid w:val="5A95294A"/>
    <w:rsid w:val="5BA91F3E"/>
    <w:rsid w:val="5BD21464"/>
    <w:rsid w:val="5BDE2B83"/>
    <w:rsid w:val="5CBE13C8"/>
    <w:rsid w:val="5D355238"/>
    <w:rsid w:val="61635F72"/>
    <w:rsid w:val="618606C5"/>
    <w:rsid w:val="63E114D3"/>
    <w:rsid w:val="666637A4"/>
    <w:rsid w:val="67046459"/>
    <w:rsid w:val="67F46D27"/>
    <w:rsid w:val="68825045"/>
    <w:rsid w:val="6AD46D46"/>
    <w:rsid w:val="6DE07909"/>
    <w:rsid w:val="6E58438A"/>
    <w:rsid w:val="6E9D5508"/>
    <w:rsid w:val="6EFBF267"/>
    <w:rsid w:val="71EB22B3"/>
    <w:rsid w:val="72010FA6"/>
    <w:rsid w:val="73215341"/>
    <w:rsid w:val="732F7EA6"/>
    <w:rsid w:val="748A4F72"/>
    <w:rsid w:val="75664078"/>
    <w:rsid w:val="761E4132"/>
    <w:rsid w:val="78061A79"/>
    <w:rsid w:val="7A25004C"/>
    <w:rsid w:val="7BC003CA"/>
    <w:rsid w:val="7CBF4BB4"/>
    <w:rsid w:val="7E5D346D"/>
    <w:rsid w:val="7EB62219"/>
    <w:rsid w:val="7F936247"/>
    <w:rsid w:val="7FDB1E88"/>
  </w:rsids>
  <w:docVars>
    <w:docVar w:name="commondata" w:val="eyJoZGlkIjoiZmVlZTUzZTNmN2FkMDcwNWM5MzZkZmM0YjM1ZTcwNjk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semiHidden="0" w:uiPriority="0" w:unhideWhenUsed="0" w:qFormat="1"/>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FirstIndent">
    <w:name w:val="Body Text First Indent"/>
    <w:basedOn w:val="BodyText"/>
    <w:qFormat/>
    <w:pPr>
      <w:spacing w:after="0"/>
      <w:ind w:firstLine="200" w:firstLineChars="200"/>
    </w:pPr>
  </w:style>
  <w:style w:type="paragraph" w:styleId="BodyText">
    <w:name w:val="Body Text"/>
    <w:basedOn w:val="Normal"/>
    <w:qFormat/>
    <w:pPr>
      <w:spacing w:before="240" w:after="240" w:line="360" w:lineRule="auto"/>
      <w:jc w:val="center"/>
    </w:pPr>
    <w:rPr>
      <w:b/>
      <w:sz w:val="44"/>
    </w:rPr>
  </w:style>
  <w:style w:type="paragraph" w:styleId="CommentText">
    <w:name w:val="annotation text"/>
    <w:basedOn w:val="Normal"/>
    <w:link w:val="a2"/>
    <w:uiPriority w:val="99"/>
    <w:semiHidden/>
    <w:unhideWhenUsed/>
    <w:qFormat/>
    <w:pPr>
      <w:jc w:val="left"/>
    </w:pPr>
  </w:style>
  <w:style w:type="paragraph" w:styleId="HTMLAddress">
    <w:name w:val="HTML Address"/>
    <w:basedOn w:val="Normal"/>
    <w:qFormat/>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adjustRightInd/>
      <w:snapToGrid/>
      <w:spacing w:before="0" w:beforeAutospacing="0" w:after="0" w:afterAutospacing="0" w:line="240" w:lineRule="auto"/>
      <w:ind w:left="0" w:right="0" w:firstLine="0"/>
      <w:jc w:val="both"/>
      <w:textAlignment w:val="auto"/>
      <w:outlineLvl w:val="9"/>
    </w:pPr>
    <w:rPr>
      <w:rFonts w:ascii="Calibri" w:eastAsia="楷体_GB2312" w:hAnsi="Calibri" w:cs="Times New Roman"/>
      <w:snapToGrid/>
      <w:color w:val="auto"/>
      <w:spacing w:val="0"/>
      <w:w w:val="100"/>
      <w:kern w:val="2"/>
      <w:position w:val="0"/>
      <w:sz w:val="21"/>
      <w:szCs w:val="20"/>
      <w:u w:val="none" w:color="auto"/>
      <w:vertAlign w:val="baseline"/>
      <w:lang w:val="en-US" w:eastAsia="zh-CN" w:bidi="ar-SA"/>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1275</Words>
  <Characters>7272</Characters>
  <Application>Microsoft Office Word</Application>
  <DocSecurity>0</DocSecurity>
  <Lines>60</Lines>
  <Paragraphs>17</Paragraphs>
  <ScaleCrop>false</ScaleCrop>
  <Company>市直单位</Company>
  <LinksUpToDate>false</LinksUpToDate>
  <CharactersWithSpaces>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2023-02-14T04:13:57Z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