
<file path=[Content_Types].xml><?xml version="1.0" encoding="utf-8"?>
<Types xmlns="http://schemas.openxmlformats.org/package/2006/content-types">
  <Default Extension="rels" ContentType="application/vnd.openxmlformats-package.relationships+xml"/>
  <Default Extension="xml" ContentType="application/xml"/>
  <Override PartName="/customXml/item1.xml" ContentType="application/xml"/>
  <Override PartName="/customXml/item2.xml" ContentType="applicat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24.5.0 -->
  <w:body>
    <w:p>
      <w:pPr>
        <w:spacing w:line="540" w:lineRule="exact"/>
        <w:jc w:val="center"/>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rPr>
          <w:rFonts w:ascii="仿宋_GB2312" w:eastAsia="仿宋_GB2312" w:hAnsi="仿宋_GB2312" w:cs="仿宋_GB2312"/>
          <w:b/>
          <w:color w:val="auto"/>
          <w:kern w:val="0"/>
          <w:sz w:val="28"/>
          <w:szCs w:val="28"/>
        </w:rPr>
      </w:pPr>
    </w:p>
    <w:p>
      <w:pPr>
        <w:spacing w:line="540" w:lineRule="exact"/>
        <w:rPr>
          <w:rFonts w:ascii="仿宋_GB2312" w:eastAsia="仿宋_GB2312" w:hAnsi="仿宋_GB2312" w:cs="仿宋_GB2312"/>
          <w:b/>
          <w:color w:val="auto"/>
          <w:kern w:val="0"/>
          <w:sz w:val="28"/>
          <w:szCs w:val="28"/>
        </w:rPr>
      </w:pPr>
    </w:p>
    <w:p>
      <w:pPr>
        <w:spacing w:line="540" w:lineRule="exact"/>
        <w:jc w:val="center"/>
        <w:rPr>
          <w:rFonts w:ascii="仿宋_GB2312" w:eastAsia="仿宋_GB2312" w:hAnsi="仿宋_GB2312" w:cs="仿宋_GB2312"/>
          <w:b/>
          <w:color w:val="auto"/>
          <w:kern w:val="0"/>
          <w:sz w:val="28"/>
          <w:szCs w:val="28"/>
        </w:rPr>
      </w:pPr>
    </w:p>
    <w:p>
      <w:pPr>
        <w:spacing w:line="540" w:lineRule="exact"/>
        <w:jc w:val="center"/>
        <w:outlineLvl w:val="0"/>
        <w:rPr>
          <w:rFonts w:ascii="方正小标宋_GBK" w:eastAsia="方正小标宋_GBK" w:hAnsi="仿宋_GB2312" w:cs="仿宋_GB2312" w:hint="eastAsia"/>
          <w:color w:val="auto"/>
          <w:kern w:val="0"/>
          <w:sz w:val="44"/>
          <w:szCs w:val="44"/>
        </w:rPr>
      </w:pPr>
      <w:r>
        <w:rPr>
          <w:rFonts w:ascii="方正小标宋_GBK" w:eastAsia="方正小标宋_GBK" w:hAnsi="仿宋_GB2312" w:cs="仿宋_GB2312" w:hint="eastAsia"/>
          <w:color w:val="auto"/>
          <w:kern w:val="0"/>
          <w:sz w:val="44"/>
          <w:szCs w:val="44"/>
          <w:lang w:val="en-US" w:eastAsia="zh-CN"/>
        </w:rPr>
        <w:t>乌苏市古尔图镇中心学校</w:t>
      </w:r>
      <w:r>
        <w:rPr>
          <w:rFonts w:ascii="方正小标宋_GBK" w:eastAsia="方正小标宋_GBK" w:hAnsi="仿宋_GB2312" w:cs="仿宋_GB2312" w:hint="eastAsia"/>
          <w:color w:val="auto"/>
          <w:kern w:val="0"/>
          <w:sz w:val="44"/>
          <w:szCs w:val="44"/>
        </w:rPr>
        <w:t>部门单位整体</w:t>
      </w:r>
    </w:p>
    <w:p>
      <w:pPr>
        <w:spacing w:line="540" w:lineRule="exact"/>
        <w:jc w:val="center"/>
        <w:outlineLvl w:val="0"/>
        <w:rPr>
          <w:rFonts w:ascii="方正小标宋_GBK" w:eastAsia="方正小标宋_GBK" w:hAnsi="仿宋_GB2312" w:cs="仿宋_GB2312"/>
          <w:color w:val="auto"/>
          <w:kern w:val="0"/>
          <w:sz w:val="44"/>
          <w:szCs w:val="44"/>
        </w:rPr>
      </w:pPr>
      <w:r>
        <w:rPr>
          <w:rFonts w:ascii="方正小标宋_GBK" w:eastAsia="方正小标宋_GBK" w:hAnsi="仿宋_GB2312" w:cs="仿宋_GB2312" w:hint="eastAsia"/>
          <w:color w:val="auto"/>
          <w:kern w:val="0"/>
          <w:sz w:val="44"/>
          <w:szCs w:val="44"/>
        </w:rPr>
        <w:t>支出绩效自评报告</w:t>
      </w:r>
    </w:p>
    <w:p>
      <w:pPr>
        <w:spacing w:line="540" w:lineRule="exact"/>
        <w:jc w:val="center"/>
        <w:rPr>
          <w:rFonts w:ascii="仿宋_GB2312" w:eastAsia="仿宋_GB2312" w:hAnsi="仿宋_GB2312" w:cs="仿宋_GB2312"/>
          <w:b/>
          <w:color w:val="auto"/>
          <w:kern w:val="0"/>
          <w:sz w:val="44"/>
          <w:szCs w:val="44"/>
        </w:rPr>
      </w:pPr>
    </w:p>
    <w:p>
      <w:pPr>
        <w:spacing w:line="540" w:lineRule="exact"/>
        <w:jc w:val="center"/>
        <w:outlineLvl w:val="0"/>
        <w:rPr>
          <w:rFonts w:ascii="仿宋_GB2312" w:eastAsia="仿宋_GB2312" w:hAnsi="仿宋_GB2312" w:cs="仿宋_GB2312"/>
          <w:color w:val="auto"/>
          <w:kern w:val="0"/>
          <w:sz w:val="28"/>
          <w:szCs w:val="28"/>
        </w:rPr>
      </w:pPr>
      <w:r>
        <w:rPr>
          <w:rFonts w:ascii="仿宋_GB2312" w:eastAsia="仿宋_GB2312" w:hAnsi="仿宋_GB2312" w:cs="仿宋_GB2312" w:hint="eastAsia"/>
          <w:color w:val="auto"/>
          <w:kern w:val="0"/>
          <w:sz w:val="44"/>
          <w:szCs w:val="44"/>
        </w:rPr>
        <w:t>（2022年度）</w:t>
      </w: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spacing w:line="540" w:lineRule="exact"/>
        <w:jc w:val="center"/>
        <w:rPr>
          <w:rFonts w:ascii="仿宋_GB2312" w:eastAsia="仿宋_GB2312" w:hAnsi="仿宋_GB2312" w:cs="仿宋_GB2312"/>
          <w:color w:val="auto"/>
          <w:kern w:val="0"/>
          <w:sz w:val="28"/>
          <w:szCs w:val="28"/>
        </w:rPr>
      </w:pPr>
    </w:p>
    <w:p>
      <w:pPr>
        <w:widowControl/>
        <w:ind w:left="2558" w:hanging="1600" w:leftChars="456" w:hangingChars="500"/>
        <w:jc w:val="left"/>
        <w:rPr>
          <w:rFonts w:ascii="仿宋_GB2312" w:hAnsi="Times New Roman" w:cs="Times New Roman" w:hint="eastAsia"/>
          <w:color w:val="auto"/>
          <w:kern w:val="0"/>
          <w:sz w:val="32"/>
          <w:szCs w:val="32"/>
          <w:lang w:bidi="en-US"/>
        </w:rPr>
      </w:pPr>
      <w:r>
        <w:rPr>
          <w:rFonts w:ascii="仿宋_GB2312" w:hAnsi="Times New Roman" w:cs="Times New Roman" w:hint="eastAsia"/>
          <w:color w:val="auto"/>
          <w:kern w:val="0"/>
          <w:sz w:val="32"/>
          <w:szCs w:val="32"/>
          <w:lang w:bidi="en-US"/>
        </w:rPr>
        <w:t>项目名称：2022年乌苏市古尔图镇中心学校化解ZW项目</w:t>
      </w:r>
    </w:p>
    <w:p>
      <w:pPr>
        <w:spacing w:line="480" w:lineRule="auto"/>
        <w:ind w:firstLine="960" w:firstLineChars="300"/>
        <w:jc w:val="left"/>
        <w:rPr>
          <w:rFonts w:ascii="仿宋_GB2312" w:hAnsi="Times New Roman" w:cs="Times New Roman" w:hint="eastAsia"/>
          <w:color w:val="auto"/>
          <w:kern w:val="0"/>
          <w:sz w:val="32"/>
          <w:szCs w:val="32"/>
          <w:lang w:bidi="en-US"/>
        </w:rPr>
      </w:pPr>
      <w:r>
        <w:rPr>
          <w:rFonts w:ascii="仿宋_GB2312" w:hAnsi="Times New Roman" w:cs="Times New Roman" w:hint="eastAsia"/>
          <w:color w:val="auto"/>
          <w:kern w:val="0"/>
          <w:sz w:val="32"/>
          <w:szCs w:val="32"/>
          <w:lang w:bidi="en-US"/>
        </w:rPr>
        <w:t>实施单位（公章）：乌苏市古尔图镇中心学校</w:t>
      </w:r>
    </w:p>
    <w:p>
      <w:pPr>
        <w:spacing w:line="480" w:lineRule="auto"/>
        <w:ind w:firstLine="960" w:firstLineChars="300"/>
        <w:jc w:val="left"/>
        <w:rPr>
          <w:rFonts w:ascii="仿宋_GB2312" w:hAnsi="Times New Roman" w:cs="Times New Roman" w:hint="eastAsia"/>
          <w:color w:val="auto"/>
          <w:kern w:val="0"/>
          <w:sz w:val="32"/>
          <w:szCs w:val="32"/>
          <w:lang w:bidi="en-US"/>
        </w:rPr>
      </w:pPr>
      <w:r>
        <w:rPr>
          <w:rFonts w:ascii="仿宋_GB2312" w:hAnsi="Times New Roman" w:cs="Times New Roman" w:hint="eastAsia"/>
          <w:color w:val="auto"/>
          <w:kern w:val="0"/>
          <w:sz w:val="32"/>
          <w:szCs w:val="32"/>
          <w:lang w:bidi="en-US"/>
        </w:rPr>
        <w:t>主管部门（公章）：乌苏市古尔图镇中心学校</w:t>
      </w:r>
    </w:p>
    <w:p>
      <w:pPr>
        <w:spacing w:line="480" w:lineRule="auto"/>
        <w:ind w:firstLine="960" w:firstLineChars="300"/>
        <w:jc w:val="left"/>
        <w:rPr>
          <w:rFonts w:ascii="仿宋_GB2312" w:eastAsia="宋体" w:hAnsi="Times New Roman" w:cs="Times New Roman" w:hint="default"/>
          <w:color w:val="auto"/>
          <w:kern w:val="0"/>
          <w:sz w:val="32"/>
          <w:szCs w:val="32"/>
          <w:lang w:val="en-US" w:eastAsia="zh-CN" w:bidi="en-US"/>
        </w:rPr>
      </w:pPr>
      <w:r>
        <w:rPr>
          <w:rFonts w:ascii="仿宋_GB2312" w:hAnsi="Times New Roman" w:cs="Times New Roman" w:hint="eastAsia"/>
          <w:color w:val="auto"/>
          <w:kern w:val="0"/>
          <w:sz w:val="32"/>
          <w:szCs w:val="32"/>
          <w:lang w:bidi="en-US"/>
        </w:rPr>
        <w:t>项目负责人（签章）：</w:t>
      </w:r>
      <w:r>
        <w:rPr>
          <w:rFonts w:ascii="仿宋_GB2312" w:hAnsi="Times New Roman" w:cs="Times New Roman" w:hint="eastAsia"/>
          <w:color w:val="auto"/>
          <w:kern w:val="0"/>
          <w:sz w:val="32"/>
          <w:szCs w:val="32"/>
          <w:lang w:val="en-US" w:eastAsia="zh-CN" w:bidi="en-US"/>
        </w:rPr>
        <w:t>柳永泮</w:t>
      </w:r>
      <w:bookmarkStart w:id="0" w:name="_GoBack"/>
      <w:bookmarkEnd w:id="0"/>
    </w:p>
    <w:p>
      <w:pPr>
        <w:spacing w:line="480" w:lineRule="auto"/>
        <w:ind w:firstLine="960" w:firstLineChars="300"/>
        <w:jc w:val="left"/>
        <w:rPr>
          <w:rFonts w:ascii="仿宋_GB2312" w:hAnsi="Times New Roman" w:cs="Times New Roman"/>
          <w:color w:val="auto"/>
          <w:kern w:val="0"/>
          <w:sz w:val="32"/>
          <w:szCs w:val="32"/>
          <w:lang w:bidi="en-US"/>
        </w:rPr>
      </w:pPr>
      <w:r>
        <w:rPr>
          <w:rFonts w:ascii="仿宋_GB2312" w:hAnsi="Times New Roman" w:cs="Times New Roman" w:hint="eastAsia"/>
          <w:color w:val="auto"/>
          <w:kern w:val="0"/>
          <w:sz w:val="32"/>
          <w:szCs w:val="32"/>
          <w:lang w:bidi="en-US"/>
        </w:rPr>
        <w:t>填报时间：202</w:t>
      </w:r>
      <w:r>
        <w:rPr>
          <w:rFonts w:ascii="仿宋_GB2312" w:hAnsi="Times New Roman" w:cs="Times New Roman"/>
          <w:color w:val="auto"/>
          <w:kern w:val="0"/>
          <w:sz w:val="32"/>
          <w:szCs w:val="32"/>
          <w:lang w:bidi="en-US"/>
        </w:rPr>
        <w:t>3</w:t>
      </w:r>
      <w:r>
        <w:rPr>
          <w:rFonts w:ascii="仿宋_GB2312" w:hAnsi="Times New Roman" w:cs="Times New Roman" w:hint="eastAsia"/>
          <w:color w:val="auto"/>
          <w:kern w:val="0"/>
          <w:sz w:val="32"/>
          <w:szCs w:val="32"/>
          <w:lang w:bidi="en-US"/>
        </w:rPr>
        <w:t>年</w:t>
      </w:r>
      <w:r>
        <w:rPr>
          <w:rFonts w:ascii="仿宋_GB2312" w:hAnsi="Times New Roman" w:cs="Times New Roman"/>
          <w:color w:val="auto"/>
          <w:kern w:val="0"/>
          <w:sz w:val="32"/>
          <w:szCs w:val="32"/>
          <w:lang w:bidi="en-US"/>
        </w:rPr>
        <w:t>2</w:t>
      </w:r>
      <w:r>
        <w:rPr>
          <w:rFonts w:ascii="仿宋_GB2312" w:hAnsi="Times New Roman" w:cs="Times New Roman" w:hint="eastAsia"/>
          <w:color w:val="auto"/>
          <w:kern w:val="0"/>
          <w:sz w:val="32"/>
          <w:szCs w:val="32"/>
          <w:lang w:bidi="en-US"/>
        </w:rPr>
        <w:t>月</w:t>
      </w:r>
    </w:p>
    <w:p>
      <w:pPr>
        <w:spacing w:line="540" w:lineRule="exact"/>
        <w:rPr>
          <w:rFonts w:ascii="仿宋_GB2312" w:eastAsia="仿宋_GB2312" w:hAnsi="仿宋_GB2312" w:cs="仿宋_GB2312"/>
          <w:color w:val="auto"/>
          <w:kern w:val="0"/>
          <w:sz w:val="28"/>
          <w:szCs w:val="28"/>
        </w:rPr>
      </w:pPr>
    </w:p>
    <w:p>
      <w:pPr>
        <w:spacing w:line="700" w:lineRule="exact"/>
        <w:jc w:val="left"/>
        <w:rPr>
          <w:rFonts w:ascii="仿宋_GB2312" w:eastAsia="仿宋_GB2312" w:hAnsi="仿宋_GB2312" w:cs="仿宋_GB2312"/>
          <w:color w:val="auto"/>
          <w:kern w:val="0"/>
          <w:sz w:val="28"/>
          <w:szCs w:val="28"/>
        </w:rPr>
      </w:pPr>
      <w:r>
        <w:rPr>
          <w:rFonts w:ascii="仿宋_GB2312" w:eastAsia="仿宋_GB2312" w:hAnsi="仿宋_GB2312" w:cs="仿宋_GB2312" w:hint="eastAsia"/>
          <w:color w:val="auto"/>
          <w:kern w:val="0"/>
          <w:sz w:val="28"/>
          <w:szCs w:val="28"/>
        </w:rPr>
        <w:t xml:space="preserve">  </w:t>
      </w:r>
    </w:p>
    <w:p>
      <w:pPr>
        <w:pStyle w:val="ListParagraph"/>
        <w:numPr>
          <w:ilvl w:val="0"/>
          <w:numId w:val="1"/>
        </w:numPr>
        <w:snapToGrid w:val="0"/>
        <w:spacing w:line="540" w:lineRule="exact"/>
        <w:ind w:firstLineChars="0"/>
        <w:outlineLvl w:val="0"/>
        <w:rPr>
          <w:rFonts w:ascii="黑体" w:eastAsia="黑体" w:hAnsi="黑体" w:cs="仿宋_GB2312"/>
          <w:color w:val="auto"/>
          <w:sz w:val="28"/>
          <w:szCs w:val="28"/>
          <w:lang w:bidi="ar"/>
        </w:rPr>
      </w:pPr>
      <w:bookmarkStart w:id="1" w:name="_Toc23945_WPSOffice_Level1"/>
      <w:r>
        <w:rPr>
          <w:rFonts w:ascii="黑体" w:eastAsia="黑体" w:hAnsi="黑体" w:cs="仿宋_GB2312" w:hint="eastAsia"/>
          <w:color w:val="auto"/>
          <w:sz w:val="28"/>
          <w:szCs w:val="28"/>
          <w:lang w:bidi="ar"/>
        </w:rPr>
        <w:t>基本概况</w:t>
      </w:r>
      <w:bookmarkEnd w:id="1"/>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（一）单位基本情况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1.部门主要职能</w:t>
      </w:r>
    </w:p>
    <w:p>
      <w:pPr>
        <w:pStyle w:val="ListParagraph"/>
        <w:snapToGrid w:val="0"/>
        <w:spacing w:line="540" w:lineRule="exact"/>
        <w:ind w:firstLine="643"/>
        <w:outlineLvl w:val="2"/>
        <w:rPr>
          <w:rStyle w:val="Strong"/>
          <w:rFonts w:ascii="仿宋_GB2312" w:eastAsia="仿宋_GB2312" w:hAnsi="仿宋_GB2312" w:cs="仿宋_GB2312" w:hint="eastAsia"/>
          <w:bCs w:val="0"/>
          <w:color w:val="auto"/>
          <w:sz w:val="28"/>
          <w:szCs w:val="28"/>
          <w:lang w:bidi="ar"/>
        </w:rPr>
      </w:pPr>
      <w:r>
        <w:rPr>
          <w:rStyle w:val="Strong"/>
          <w:rFonts w:ascii="仿宋_GB2312" w:eastAsia="仿宋_GB2312" w:hAnsi="仿宋_GB2312" w:cs="仿宋_GB2312" w:hint="eastAsia"/>
          <w:bCs w:val="0"/>
          <w:color w:val="auto"/>
          <w:sz w:val="28"/>
          <w:szCs w:val="28"/>
          <w:lang w:bidi="ar"/>
        </w:rPr>
        <w:t>1、主要职能：</w:t>
      </w:r>
    </w:p>
    <w:p>
      <w:pPr>
        <w:spacing w:line="560" w:lineRule="exact"/>
        <w:ind w:firstLine="560" w:firstLineChars="200"/>
        <w:rPr>
          <w:rFonts w:ascii="仿宋" w:eastAsia="仿宋" w:hAnsi="仿宋" w:cs="仿宋" w:hint="eastAsia"/>
          <w:color w:val="auto"/>
          <w:sz w:val="28"/>
          <w:szCs w:val="28"/>
        </w:rPr>
      </w:pPr>
      <w:r>
        <w:rPr>
          <w:rStyle w:val="Strong"/>
          <w:rFonts w:ascii="仿宋_GB2312" w:eastAsia="仿宋_GB2312" w:hAnsi="楷体" w:hint="eastAsia"/>
          <w:b w:val="0"/>
          <w:color w:val="auto"/>
          <w:spacing w:val="-4"/>
          <w:sz w:val="28"/>
          <w:szCs w:val="28"/>
        </w:rPr>
        <w:t>（</w:t>
      </w:r>
      <w:r>
        <w:rPr>
          <w:rStyle w:val="Strong"/>
          <w:rFonts w:ascii="仿宋_GB2312" w:eastAsia="仿宋_GB2312" w:hAnsi="楷体" w:hint="eastAsia"/>
          <w:b w:val="0"/>
          <w:color w:val="auto"/>
          <w:spacing w:val="-4"/>
          <w:sz w:val="28"/>
          <w:szCs w:val="28"/>
          <w:lang w:val="en-US" w:eastAsia="zh-CN"/>
        </w:rPr>
        <w:t>1</w:t>
      </w:r>
      <w:r>
        <w:rPr>
          <w:rStyle w:val="Strong"/>
          <w:rFonts w:ascii="仿宋_GB2312" w:eastAsia="仿宋_GB2312" w:hAnsi="楷体" w:hint="eastAsia"/>
          <w:b w:val="0"/>
          <w:color w:val="auto"/>
          <w:spacing w:val="-4"/>
          <w:sz w:val="28"/>
          <w:szCs w:val="28"/>
        </w:rPr>
        <w:t>）</w:t>
      </w:r>
      <w:r>
        <w:rPr>
          <w:rFonts w:ascii="仿宋" w:eastAsia="仿宋" w:hAnsi="仿宋" w:cs="仿宋" w:hint="eastAsia"/>
          <w:color w:val="auto"/>
          <w:sz w:val="28"/>
          <w:szCs w:val="28"/>
        </w:rPr>
        <w:t>全面贯彻执行党的教育方针、政策和法规，遵循教育规律，实施小学义务教育，促进基础教育发展</w:t>
      </w:r>
      <w:r>
        <w:rPr>
          <w:rFonts w:ascii="仿宋" w:eastAsia="仿宋" w:hAnsi="仿宋" w:cs="仿宋" w:hint="eastAsia"/>
          <w:color w:val="auto"/>
          <w:sz w:val="28"/>
          <w:szCs w:val="28"/>
          <w:lang w:eastAsia="zh-CN"/>
        </w:rPr>
        <w:t>，</w:t>
      </w:r>
      <w:r>
        <w:rPr>
          <w:rStyle w:val="Strong"/>
          <w:rFonts w:ascii="仿宋_GB2312" w:eastAsia="仿宋_GB2312" w:hAnsi="楷体" w:hint="eastAsia"/>
          <w:b w:val="0"/>
          <w:color w:val="auto"/>
          <w:spacing w:val="-4"/>
          <w:sz w:val="28"/>
          <w:szCs w:val="28"/>
        </w:rPr>
        <w:t>坚持依法治教、依法治学</w:t>
      </w:r>
      <w:r>
        <w:rPr>
          <w:rFonts w:ascii="仿宋" w:eastAsia="仿宋" w:hAnsi="仿宋" w:cs="仿宋" w:hint="eastAsia"/>
          <w:color w:val="auto"/>
          <w:sz w:val="28"/>
          <w:szCs w:val="28"/>
        </w:rPr>
        <w:t>。                      </w:t>
      </w:r>
    </w:p>
    <w:p>
      <w:pPr>
        <w:spacing w:line="560" w:lineRule="exact"/>
        <w:ind w:firstLine="560" w:firstLineChars="200"/>
        <w:rPr>
          <w:rFonts w:ascii="仿宋" w:eastAsia="仿宋" w:hAnsi="仿宋" w:cs="仿宋" w:hint="eastAsia"/>
          <w:color w:val="auto"/>
          <w:sz w:val="28"/>
          <w:szCs w:val="28"/>
        </w:rPr>
      </w:pPr>
      <w:r>
        <w:rPr>
          <w:rStyle w:val="Strong"/>
          <w:rFonts w:ascii="仿宋_GB2312" w:eastAsia="仿宋_GB2312" w:hAnsi="楷体" w:hint="eastAsia"/>
          <w:b w:val="0"/>
          <w:color w:val="auto"/>
          <w:spacing w:val="-4"/>
          <w:sz w:val="28"/>
          <w:szCs w:val="28"/>
        </w:rPr>
        <w:t>（</w:t>
      </w:r>
      <w:r>
        <w:rPr>
          <w:rStyle w:val="Strong"/>
          <w:rFonts w:ascii="仿宋_GB2312" w:eastAsia="仿宋_GB2312" w:hAnsi="楷体" w:hint="eastAsia"/>
          <w:b w:val="0"/>
          <w:color w:val="auto"/>
          <w:spacing w:val="-4"/>
          <w:sz w:val="28"/>
          <w:szCs w:val="28"/>
          <w:lang w:val="en-US" w:eastAsia="zh-CN"/>
        </w:rPr>
        <w:t>2</w:t>
      </w:r>
      <w:r>
        <w:rPr>
          <w:rStyle w:val="Strong"/>
          <w:rFonts w:ascii="仿宋_GB2312" w:eastAsia="仿宋_GB2312" w:hAnsi="楷体" w:hint="eastAsia"/>
          <w:b w:val="0"/>
          <w:color w:val="auto"/>
          <w:spacing w:val="-4"/>
          <w:sz w:val="28"/>
          <w:szCs w:val="28"/>
        </w:rPr>
        <w:t>）</w:t>
      </w:r>
      <w:r>
        <w:rPr>
          <w:rFonts w:ascii="仿宋" w:eastAsia="仿宋" w:hAnsi="仿宋" w:cs="仿宋" w:hint="eastAsia"/>
          <w:color w:val="auto"/>
          <w:sz w:val="28"/>
          <w:szCs w:val="28"/>
        </w:rPr>
        <w:t>根据党和国家的有关方针、政策、法规，按上级主管部门的要求，结合实际制定学校发展规划和工作计划并予以落实</w:t>
      </w:r>
      <w:r>
        <w:rPr>
          <w:rFonts w:ascii="仿宋" w:eastAsia="仿宋" w:hAnsi="仿宋" w:cs="仿宋" w:hint="eastAsia"/>
          <w:color w:val="auto"/>
          <w:sz w:val="28"/>
          <w:szCs w:val="28"/>
          <w:lang w:eastAsia="zh-CN"/>
        </w:rPr>
        <w:t>，</w:t>
      </w:r>
      <w:r>
        <w:rPr>
          <w:rStyle w:val="Strong"/>
          <w:rFonts w:ascii="仿宋_GB2312" w:eastAsia="仿宋_GB2312" w:hAnsi="楷体" w:hint="eastAsia"/>
          <w:b w:val="0"/>
          <w:color w:val="auto"/>
          <w:spacing w:val="-4"/>
          <w:sz w:val="28"/>
          <w:szCs w:val="28"/>
        </w:rPr>
        <w:t>全力推进素质教育</w:t>
      </w:r>
      <w:r>
        <w:rPr>
          <w:rStyle w:val="Strong"/>
          <w:rFonts w:ascii="仿宋_GB2312" w:eastAsia="仿宋_GB2312" w:hAnsi="楷体" w:hint="eastAsia"/>
          <w:b w:val="0"/>
          <w:color w:val="auto"/>
          <w:spacing w:val="-4"/>
          <w:sz w:val="28"/>
          <w:szCs w:val="28"/>
          <w:lang w:val="en-US" w:eastAsia="zh-CN"/>
        </w:rPr>
        <w:t>及</w:t>
      </w:r>
      <w:r>
        <w:rPr>
          <w:rStyle w:val="Strong"/>
          <w:rFonts w:ascii="仿宋_GB2312" w:eastAsia="仿宋_GB2312" w:hAnsi="楷体" w:hint="eastAsia"/>
          <w:b w:val="0"/>
          <w:color w:val="auto"/>
          <w:spacing w:val="-4"/>
          <w:sz w:val="28"/>
          <w:szCs w:val="28"/>
        </w:rPr>
        <w:t>本单位教育教学管理及教研教改工作</w:t>
      </w:r>
      <w:r>
        <w:rPr>
          <w:rFonts w:ascii="仿宋" w:eastAsia="仿宋" w:hAnsi="仿宋" w:cs="仿宋" w:hint="eastAsia"/>
          <w:color w:val="auto"/>
          <w:sz w:val="28"/>
          <w:szCs w:val="28"/>
        </w:rPr>
        <w:t>。   </w:t>
      </w:r>
    </w:p>
    <w:p>
      <w:pPr>
        <w:spacing w:line="540" w:lineRule="exact"/>
        <w:ind w:firstLine="507" w:firstLineChars="181"/>
        <w:rPr>
          <w:rFonts w:ascii="仿宋" w:eastAsia="仿宋" w:hAnsi="仿宋" w:cs="仿宋" w:hint="eastAsia"/>
          <w:color w:val="auto"/>
          <w:sz w:val="28"/>
          <w:szCs w:val="28"/>
        </w:rPr>
      </w:pP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lang w:val="en-US" w:eastAsia="zh-CN"/>
        </w:rPr>
        <w:t>3</w:t>
      </w: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rPr>
        <w:t>充分发挥教代会参与学校民主管理的作用。加强对学校工作的领导与管理。搞好学校、家庭、社会三结合教育，提高办学效益。</w:t>
      </w:r>
    </w:p>
    <w:p>
      <w:pPr>
        <w:spacing w:line="540" w:lineRule="exact"/>
        <w:ind w:firstLine="507" w:firstLineChars="181"/>
        <w:rPr>
          <w:rFonts w:ascii="仿宋" w:eastAsia="仿宋" w:hAnsi="仿宋" w:cs="仿宋" w:hint="eastAsia"/>
          <w:color w:val="auto"/>
          <w:sz w:val="28"/>
          <w:szCs w:val="28"/>
          <w:lang w:eastAsia="zh-CN"/>
        </w:rPr>
      </w:pPr>
      <w:r>
        <w:rPr>
          <w:rFonts w:ascii="仿宋" w:eastAsia="仿宋" w:hAnsi="仿宋" w:cs="仿宋" w:hint="eastAsia"/>
          <w:color w:val="auto"/>
          <w:sz w:val="28"/>
          <w:szCs w:val="28"/>
          <w:lang w:eastAsia="zh-CN"/>
        </w:rPr>
        <w:t>（</w:t>
      </w:r>
      <w:r>
        <w:rPr>
          <w:rFonts w:ascii="仿宋" w:eastAsia="仿宋" w:hAnsi="仿宋" w:cs="仿宋" w:hint="eastAsia"/>
          <w:color w:val="auto"/>
          <w:sz w:val="28"/>
          <w:szCs w:val="28"/>
          <w:lang w:val="en-US" w:eastAsia="zh-CN"/>
        </w:rPr>
        <w:t>4</w:t>
      </w:r>
      <w:r>
        <w:rPr>
          <w:rFonts w:ascii="仿宋" w:eastAsia="仿宋" w:hAnsi="仿宋" w:cs="仿宋" w:hint="eastAsia"/>
          <w:color w:val="auto"/>
          <w:sz w:val="28"/>
          <w:szCs w:val="28"/>
          <w:lang w:eastAsia="zh-CN"/>
        </w:rPr>
        <w:t>）坚持以德育为首，以教学为中心，深化教育改革，全面实施素质教育。认真抓好体育、卫生、美育、劳动教育和财务后勤工作。培养良好的校风，不断提高教育教学质量。</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2.部门机构设置及人员构成</w:t>
      </w:r>
    </w:p>
    <w:p>
      <w:pPr>
        <w:spacing w:line="540" w:lineRule="exact"/>
        <w:ind w:firstLine="507" w:firstLineChars="181"/>
        <w:rPr>
          <w:rStyle w:val="Strong"/>
          <w:rFonts w:ascii="仿宋_GB2312" w:eastAsia="仿宋_GB2312" w:hAnsi="楷体" w:hint="eastAsia"/>
          <w:b w:val="0"/>
          <w:color w:val="auto"/>
          <w:spacing w:val="-4"/>
          <w:sz w:val="28"/>
          <w:szCs w:val="28"/>
        </w:rPr>
      </w:pPr>
      <w:r>
        <w:rPr>
          <w:rStyle w:val="Strong"/>
          <w:rFonts w:ascii="仿宋_GB2312" w:eastAsia="仿宋_GB2312" w:hAnsi="楷体" w:hint="eastAsia"/>
          <w:b w:val="0"/>
          <w:color w:val="auto"/>
          <w:spacing w:val="-4"/>
          <w:sz w:val="28"/>
          <w:szCs w:val="28"/>
          <w:lang w:val="en-US" w:eastAsia="zh-CN"/>
        </w:rPr>
        <w:t>乌苏市古尔图镇中心学校</w:t>
      </w:r>
      <w:r>
        <w:rPr>
          <w:rStyle w:val="Strong"/>
          <w:rFonts w:ascii="仿宋_GB2312" w:eastAsia="仿宋_GB2312" w:hAnsi="楷体" w:hint="eastAsia"/>
          <w:b w:val="0"/>
          <w:color w:val="auto"/>
          <w:spacing w:val="-4"/>
          <w:sz w:val="28"/>
          <w:szCs w:val="28"/>
        </w:rPr>
        <w:t>编制人数为</w:t>
      </w:r>
      <w:r>
        <w:rPr>
          <w:rStyle w:val="Strong"/>
          <w:rFonts w:ascii="仿宋_GB2312" w:eastAsia="仿宋_GB2312" w:hAnsi="楷体" w:hint="eastAsia"/>
          <w:b w:val="0"/>
          <w:color w:val="auto"/>
          <w:spacing w:val="-4"/>
          <w:sz w:val="28"/>
          <w:szCs w:val="28"/>
          <w:lang w:val="en-US" w:eastAsia="zh-CN"/>
        </w:rPr>
        <w:t>114</w:t>
      </w:r>
      <w:r>
        <w:rPr>
          <w:rStyle w:val="Strong"/>
          <w:rFonts w:ascii="仿宋_GB2312" w:eastAsia="仿宋_GB2312" w:hAnsi="楷体" w:hint="eastAsia"/>
          <w:b w:val="0"/>
          <w:color w:val="auto"/>
          <w:spacing w:val="-4"/>
          <w:sz w:val="28"/>
          <w:szCs w:val="28"/>
        </w:rPr>
        <w:t>人，其事业编制</w:t>
      </w:r>
      <w:r>
        <w:rPr>
          <w:rStyle w:val="Strong"/>
          <w:rFonts w:ascii="仿宋_GB2312" w:eastAsia="仿宋_GB2312" w:hAnsi="楷体" w:hint="eastAsia"/>
          <w:b w:val="0"/>
          <w:color w:val="auto"/>
          <w:spacing w:val="-4"/>
          <w:sz w:val="28"/>
          <w:szCs w:val="28"/>
          <w:lang w:val="en-US" w:eastAsia="zh-CN"/>
        </w:rPr>
        <w:t>114</w:t>
      </w:r>
      <w:r>
        <w:rPr>
          <w:rStyle w:val="Strong"/>
          <w:rFonts w:ascii="仿宋_GB2312" w:eastAsia="仿宋_GB2312" w:hAnsi="楷体" w:hint="eastAsia"/>
          <w:b w:val="0"/>
          <w:color w:val="auto"/>
          <w:spacing w:val="-4"/>
          <w:sz w:val="28"/>
          <w:szCs w:val="28"/>
        </w:rPr>
        <w:t>人,</w:t>
      </w:r>
      <w:r>
        <w:rPr>
          <w:rStyle w:val="Strong"/>
          <w:rFonts w:ascii="仿宋_GB2312" w:eastAsia="仿宋_GB2312" w:hAnsi="楷体" w:hint="eastAsia"/>
          <w:b w:val="0"/>
          <w:color w:val="auto"/>
          <w:spacing w:val="-4"/>
          <w:sz w:val="28"/>
          <w:szCs w:val="28"/>
          <w:lang w:val="en-US" w:eastAsia="zh-CN"/>
        </w:rPr>
        <w:t>实有人数121人</w:t>
      </w:r>
      <w:r>
        <w:rPr>
          <w:rStyle w:val="Strong"/>
          <w:rFonts w:ascii="仿宋_GB2312" w:eastAsia="仿宋_GB2312" w:hAnsi="楷体" w:hint="eastAsia"/>
          <w:b w:val="0"/>
          <w:color w:val="auto"/>
          <w:spacing w:val="-4"/>
          <w:sz w:val="28"/>
          <w:szCs w:val="28"/>
        </w:rPr>
        <w:t>。</w:t>
      </w:r>
    </w:p>
    <w:p>
      <w:pPr>
        <w:pStyle w:val="ListParagraph"/>
        <w:snapToGrid w:val="0"/>
        <w:spacing w:line="540" w:lineRule="exact"/>
        <w:ind w:firstLine="643"/>
        <w:outlineLvl w:val="2"/>
        <w:rPr>
          <w:rFonts w:ascii="仿宋_GB2312" w:eastAsia="仿宋_GB2312" w:hint="eastAsia"/>
          <w:color w:val="auto"/>
          <w:sz w:val="28"/>
          <w:szCs w:val="28"/>
        </w:rPr>
      </w:pPr>
      <w:r>
        <w:rPr>
          <w:rStyle w:val="Strong"/>
          <w:rFonts w:ascii="仿宋_GB2312" w:eastAsia="仿宋_GB2312" w:hAnsi="仿宋_GB2312" w:cs="仿宋_GB2312" w:hint="eastAsia"/>
          <w:bCs w:val="0"/>
          <w:color w:val="auto"/>
          <w:sz w:val="28"/>
          <w:szCs w:val="28"/>
          <w:lang w:val="en-US" w:eastAsia="zh-CN" w:bidi="ar"/>
        </w:rPr>
        <w:t>3.</w:t>
      </w:r>
      <w:r>
        <w:rPr>
          <w:rStyle w:val="Strong"/>
          <w:rFonts w:ascii="仿宋_GB2312" w:eastAsia="仿宋_GB2312" w:hAnsi="仿宋_GB2312" w:cs="仿宋_GB2312" w:hint="eastAsia"/>
          <w:bCs w:val="0"/>
          <w:color w:val="auto"/>
          <w:sz w:val="28"/>
          <w:szCs w:val="28"/>
          <w:lang w:bidi="ar"/>
        </w:rPr>
        <w:t>年度重点工</w:t>
      </w:r>
      <w:r>
        <w:rPr>
          <w:rStyle w:val="Strong"/>
          <w:rFonts w:ascii="仿宋_GB2312" w:eastAsia="仿宋_GB2312" w:hAnsi="仿宋_GB2312" w:cs="仿宋_GB2312" w:hint="eastAsia"/>
          <w:bCs w:val="0"/>
          <w:color w:val="auto"/>
          <w:sz w:val="28"/>
          <w:szCs w:val="28"/>
          <w:lang w:eastAsia="zh-CN" w:bidi="ar"/>
        </w:rPr>
        <w:t>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一</w:t>
      </w:r>
      <w:r>
        <w:rPr>
          <w:rStyle w:val="Strong"/>
          <w:rFonts w:ascii="仿宋" w:eastAsia="仿宋" w:hAnsi="仿宋" w:cs="仿宋" w:hint="default"/>
          <w:b w:val="0"/>
          <w:color w:val="auto"/>
          <w:kern w:val="2"/>
          <w:sz w:val="28"/>
          <w:szCs w:val="28"/>
          <w:lang w:val="en-US" w:eastAsia="zh-CN" w:bidi="ar"/>
        </w:rPr>
        <w:t>）教育教学工作：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1</w:t>
      </w:r>
      <w:r>
        <w:rPr>
          <w:rStyle w:val="Strong"/>
          <w:rFonts w:ascii="仿宋" w:eastAsia="仿宋" w:hAnsi="仿宋" w:cs="仿宋" w:hint="default"/>
          <w:b w:val="0"/>
          <w:color w:val="auto"/>
          <w:kern w:val="2"/>
          <w:sz w:val="28"/>
          <w:szCs w:val="28"/>
          <w:lang w:val="en-US" w:eastAsia="zh-CN" w:bidi="ar"/>
        </w:rPr>
        <w:t>）强化教学常规管理，完善教师评价体系。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2</w:t>
      </w:r>
      <w:r>
        <w:rPr>
          <w:rStyle w:val="Strong"/>
          <w:rFonts w:ascii="仿宋" w:eastAsia="仿宋" w:hAnsi="仿宋" w:cs="仿宋" w:hint="default"/>
          <w:b w:val="0"/>
          <w:color w:val="auto"/>
          <w:kern w:val="2"/>
          <w:sz w:val="28"/>
          <w:szCs w:val="28"/>
          <w:lang w:val="en-US" w:eastAsia="zh-CN" w:bidi="ar"/>
        </w:rPr>
        <w:t>）优化集体备课</w:t>
      </w:r>
      <w:r>
        <w:rPr>
          <w:rStyle w:val="Strong"/>
          <w:rFonts w:ascii="仿宋" w:eastAsia="仿宋" w:hAnsi="仿宋" w:cs="仿宋" w:hint="eastAsia"/>
          <w:b w:val="0"/>
          <w:color w:val="auto"/>
          <w:kern w:val="2"/>
          <w:sz w:val="28"/>
          <w:szCs w:val="28"/>
          <w:lang w:val="en-US" w:eastAsia="zh-CN" w:bidi="ar"/>
        </w:rPr>
        <w:t>，</w:t>
      </w:r>
      <w:r>
        <w:rPr>
          <w:rStyle w:val="Strong"/>
          <w:rFonts w:ascii="仿宋" w:eastAsia="仿宋" w:hAnsi="仿宋" w:cs="仿宋" w:hint="default"/>
          <w:b w:val="0"/>
          <w:color w:val="auto"/>
          <w:kern w:val="2"/>
          <w:sz w:val="28"/>
          <w:szCs w:val="28"/>
          <w:lang w:val="en-US" w:eastAsia="zh-CN" w:bidi="ar"/>
        </w:rPr>
        <w:t>定集备程序。切实提高课堂教学效率，促使教师真正面向全体学生，全面提升学科教学质量。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3</w:t>
      </w:r>
      <w:r>
        <w:rPr>
          <w:rStyle w:val="Strong"/>
          <w:rFonts w:ascii="仿宋" w:eastAsia="仿宋" w:hAnsi="仿宋" w:cs="仿宋" w:hint="default"/>
          <w:b w:val="0"/>
          <w:color w:val="auto"/>
          <w:kern w:val="2"/>
          <w:sz w:val="28"/>
          <w:szCs w:val="28"/>
          <w:lang w:val="en-US" w:eastAsia="zh-CN" w:bidi="ar"/>
        </w:rPr>
        <w:t>）规范教研组、备课组活动流程，提高教研活动的质量。</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4</w:t>
      </w:r>
      <w:r>
        <w:rPr>
          <w:rStyle w:val="Strong"/>
          <w:rFonts w:ascii="仿宋" w:eastAsia="仿宋" w:hAnsi="仿宋" w:cs="仿宋" w:hint="default"/>
          <w:b w:val="0"/>
          <w:color w:val="auto"/>
          <w:kern w:val="2"/>
          <w:sz w:val="28"/>
          <w:szCs w:val="28"/>
          <w:lang w:val="en-US" w:eastAsia="zh-CN" w:bidi="ar"/>
        </w:rPr>
        <w:t>）提高作业设计质量。从“作业设计”“作业管理”“作业评价”三方面整体推进作业变革，设计有素养导向的单元作业、指向深度学习的拓展延伸类作业、满足学生多样化需求的综合实践类作业。</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5</w:t>
      </w:r>
      <w:r>
        <w:rPr>
          <w:rStyle w:val="Strong"/>
          <w:rFonts w:ascii="仿宋" w:eastAsia="仿宋" w:hAnsi="仿宋" w:cs="仿宋" w:hint="default"/>
          <w:b w:val="0"/>
          <w:color w:val="auto"/>
          <w:kern w:val="2"/>
          <w:sz w:val="28"/>
          <w:szCs w:val="28"/>
          <w:lang w:val="en-US" w:eastAsia="zh-CN" w:bidi="ar"/>
        </w:rPr>
        <w:t>）强化教师队伍建设，通过培训、课堂教学练兵等活动，不断提高教师的教学能力。</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二</w:t>
      </w:r>
      <w:r>
        <w:rPr>
          <w:rStyle w:val="Strong"/>
          <w:rFonts w:ascii="仿宋" w:eastAsia="仿宋" w:hAnsi="仿宋" w:cs="仿宋" w:hint="default"/>
          <w:b w:val="0"/>
          <w:color w:val="auto"/>
          <w:kern w:val="2"/>
          <w:sz w:val="28"/>
          <w:szCs w:val="28"/>
          <w:lang w:val="en-US" w:eastAsia="zh-CN" w:bidi="ar"/>
        </w:rPr>
        <w:t>）德育工作：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（1）突出文明礼仪规范养成教育。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（2）创新性地开展劳动教育</w:t>
      </w:r>
      <w:r>
        <w:rPr>
          <w:rStyle w:val="Strong"/>
          <w:rFonts w:ascii="仿宋" w:eastAsia="仿宋" w:hAnsi="仿宋" w:cs="仿宋" w:hint="eastAsia"/>
          <w:b w:val="0"/>
          <w:color w:val="auto"/>
          <w:kern w:val="2"/>
          <w:sz w:val="28"/>
          <w:szCs w:val="28"/>
          <w:lang w:val="en-US" w:eastAsia="zh-CN" w:bidi="ar"/>
        </w:rPr>
        <w:t>。</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（3）进行主题教育,培养爱国精神、民族精神，康续革命传统,培育和践行社会主义核心价值观，树立正确的世界观、人生观和价值观。</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（4）加强校园文化和班级文化建设。</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（5）加强德育队伍建设。提高班主任老师的理论水平和管理水平。</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三</w:t>
      </w:r>
      <w:r>
        <w:rPr>
          <w:rStyle w:val="Strong"/>
          <w:rFonts w:ascii="仿宋" w:eastAsia="仿宋" w:hAnsi="仿宋" w:cs="仿宋" w:hint="default"/>
          <w:b w:val="0"/>
          <w:color w:val="auto"/>
          <w:kern w:val="2"/>
          <w:sz w:val="28"/>
          <w:szCs w:val="28"/>
          <w:lang w:val="en-US" w:eastAsia="zh-CN" w:bidi="ar"/>
        </w:rPr>
        <w:t>）党建工作：</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（1）加强改进教师思想政治教育。规范开展教师党员党内学习教育，加强教师党员党性修养。</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（2）把党支部建成党员之家、教师之家，形成教师有困难找支部、有问题找党员的常态化机制，不断增强教师归属感、获得感。</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 w:eastAsia="仿宋" w:hAnsi="仿宋" w:cs="仿宋" w:hint="default"/>
          <w:b w:val="0"/>
          <w:color w:val="auto"/>
          <w:kern w:val="2"/>
          <w:sz w:val="28"/>
          <w:szCs w:val="28"/>
          <w:lang w:val="en-US" w:eastAsia="zh-CN" w:bidi="ar"/>
        </w:rPr>
      </w:pPr>
      <w:r>
        <w:rPr>
          <w:rStyle w:val="Strong"/>
          <w:rFonts w:ascii="仿宋" w:eastAsia="仿宋" w:hAnsi="仿宋" w:cs="仿宋" w:hint="default"/>
          <w:b w:val="0"/>
          <w:color w:val="auto"/>
          <w:kern w:val="2"/>
          <w:sz w:val="28"/>
          <w:szCs w:val="28"/>
          <w:lang w:val="en-US" w:eastAsia="zh-CN" w:bidi="ar"/>
        </w:rPr>
        <w:t>（3）继续实施双培养机制，把骨干教师培养成党员，把党员教师培养成教学科研和管理骨干。</w:t>
      </w:r>
    </w:p>
    <w:p>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Style w:val="Strong"/>
          <w:rFonts w:ascii="仿宋_GB2312" w:eastAsia="仿宋_GB2312" w:hAnsi="仿宋_GB2312" w:cs="仿宋_GB2312"/>
          <w:bCs w:val="0"/>
          <w:color w:val="auto"/>
          <w:sz w:val="28"/>
          <w:szCs w:val="28"/>
          <w:lang w:bidi="ar"/>
        </w:rPr>
      </w:pPr>
      <w:r>
        <w:rPr>
          <w:rStyle w:val="Strong"/>
          <w:rFonts w:ascii="仿宋" w:eastAsia="仿宋" w:hAnsi="仿宋" w:cs="仿宋" w:hint="default"/>
          <w:b w:val="0"/>
          <w:color w:val="auto"/>
          <w:kern w:val="2"/>
          <w:sz w:val="28"/>
          <w:szCs w:val="28"/>
          <w:lang w:val="en-US" w:eastAsia="zh-CN" w:bidi="ar"/>
        </w:rPr>
        <w:t>（</w:t>
      </w:r>
      <w:r>
        <w:rPr>
          <w:rStyle w:val="Strong"/>
          <w:rFonts w:ascii="仿宋" w:eastAsia="仿宋" w:hAnsi="仿宋" w:cs="仿宋" w:hint="eastAsia"/>
          <w:b w:val="0"/>
          <w:color w:val="auto"/>
          <w:kern w:val="2"/>
          <w:sz w:val="28"/>
          <w:szCs w:val="28"/>
          <w:lang w:val="en-US" w:eastAsia="zh-CN" w:bidi="ar"/>
        </w:rPr>
        <w:t>四</w:t>
      </w:r>
      <w:r>
        <w:rPr>
          <w:rStyle w:val="Strong"/>
          <w:rFonts w:ascii="仿宋" w:eastAsia="仿宋" w:hAnsi="仿宋" w:cs="仿宋" w:hint="default"/>
          <w:b w:val="0"/>
          <w:color w:val="auto"/>
          <w:kern w:val="2"/>
          <w:sz w:val="28"/>
          <w:szCs w:val="28"/>
          <w:lang w:val="en-US" w:eastAsia="zh-CN" w:bidi="ar"/>
        </w:rPr>
        <w:t>）财务工作：全面规范资金的收支，实行收支两条线，落实日清月结，按期公示，把每一分钱都用在刀刃上，充分发挥每一分钱的效益，促进学校向纵深发展。</w:t>
      </w:r>
    </w:p>
    <w:p>
      <w:pPr>
        <w:pStyle w:val="Heading1"/>
        <w:rPr>
          <w:color w:val="auto"/>
          <w:sz w:val="28"/>
          <w:szCs w:val="28"/>
        </w:rPr>
      </w:pP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（二）决策过程</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部门项目立项依据充分，符合相关法规政策及部门职责，符合行业发展和政策要求，与部门职责范围相符，属于部门履职所需。符合中央、地方事务支出责任划分原则。</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部门项目立项程序规范，项目严格按照规定的程序申请设立；审批文件、材料符合相关要求；项目前期已经过必要的可行性研究、专家论证、风险评估、绩效评估、集体决策。</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部门整体绩效目标设置合理，根据相关文件要求设置了整体绩效目标，整体项目绩效目标基本合理，与实际工作内容相关；预期产出效益和效果符合正常的业绩水平；与预算确定的项目投资额或资金量相匹配。</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部门整体绩效指标明确，已将整体项目绩效目标细化分解为具体的绩效指标；可以通过清晰、可衡量的指标值予以体现；与整体项目目标任务数或计划数相对应。</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预算编制科学，整体项目在资金投入方面，预算编制经过科学论证、有明确标准，资金额度与年度目标相适应，用以反映和考核项目预算编制的科学性、合理性情况。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资金分配合理，整体项目预算资金分配有测算依据，资金分配额度合理，与部门单位的实际情况相适应。</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综上，我单位本年各项工作能够做到部门项目立项依据充分，部门项目立项程序规范，绩效目标设置合理，预算编制科学有效，资金分配合理。决策过程科学规范、实施有效。</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（三）项目资金分配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1.部门（单位）预算编制及分配依据</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单位年初根据单位职能及工作计划按照“量入为出、收支平衡”的原则，编制部门预算。基本支出预算由工资福利支出、商品和服务支出、对个人和家庭的补助支出三部分构成；项目支出预算按期支出性质分为公共管理事务类项目和发展建设类项目。公共管理事务类项目反映用于社会管理、公共事业发展、社会保障等方面的项目资金。发展建设类项目反映用于城乡公共基础设施和社会事业建设与维护等方面的项目资金。合理规范编制部门预算，分配依据充分。</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2.分配结果</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预算编制和分配符合部门职责和任务要求，能根据年度工作重点，在不同项目、不同用途之间进行合理分配。整体绩效目标与预算确定的资金相匹配。</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3.重点支出保障率</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重点支出保障率用以反映和考核部门（单位）对履行主要职责或完成重点任务的保障程度。我单位本年主要实施</w:t>
      </w:r>
      <w:r>
        <w:rPr>
          <w:rStyle w:val="Strong"/>
          <w:rFonts w:ascii="仿宋_GB2312" w:eastAsia="仿宋_GB2312" w:hAnsi="仿宋_GB2312" w:cs="仿宋_GB2312" w:hint="eastAsia"/>
          <w:b w:val="0"/>
          <w:color w:val="auto"/>
          <w:sz w:val="28"/>
          <w:szCs w:val="28"/>
          <w:lang w:val="en-US" w:eastAsia="zh-CN" w:bidi="ar"/>
        </w:rPr>
        <w:t>城乡</w:t>
      </w:r>
      <w:r>
        <w:rPr>
          <w:rStyle w:val="Strong"/>
          <w:rFonts w:ascii="仿宋_GB2312" w:eastAsia="仿宋_GB2312" w:hAnsi="仿宋_GB2312" w:cs="仿宋_GB2312" w:hint="eastAsia"/>
          <w:b w:val="0"/>
          <w:color w:val="auto"/>
          <w:sz w:val="28"/>
          <w:szCs w:val="28"/>
          <w:lang w:eastAsia="zh-CN" w:bidi="ar"/>
        </w:rPr>
        <w:t>义务教育补助</w:t>
      </w:r>
      <w:r>
        <w:rPr>
          <w:rStyle w:val="Strong"/>
          <w:rFonts w:ascii="仿宋_GB2312" w:eastAsia="仿宋_GB2312" w:hAnsi="仿宋_GB2312" w:cs="仿宋_GB2312" w:hint="eastAsia"/>
          <w:b w:val="0"/>
          <w:color w:val="auto"/>
          <w:sz w:val="28"/>
          <w:szCs w:val="28"/>
          <w:lang w:val="en-US" w:eastAsia="zh-CN" w:bidi="ar"/>
        </w:rPr>
        <w:t>保障</w:t>
      </w:r>
      <w:r>
        <w:rPr>
          <w:rStyle w:val="Strong"/>
          <w:rFonts w:ascii="仿宋_GB2312" w:eastAsia="仿宋_GB2312" w:hAnsi="仿宋_GB2312" w:cs="仿宋_GB2312" w:hint="eastAsia"/>
          <w:b w:val="0"/>
          <w:color w:val="auto"/>
          <w:sz w:val="28"/>
          <w:szCs w:val="28"/>
          <w:lang w:eastAsia="zh-CN" w:bidi="ar"/>
        </w:rPr>
        <w:t>经费、农村学前三年免费教育保障机制经费、化解乌苏市古尔图镇中心学校中心双语幼儿园维修</w:t>
      </w:r>
      <w:r>
        <w:rPr>
          <w:rStyle w:val="Strong"/>
          <w:rFonts w:ascii="仿宋_GB2312" w:eastAsia="仿宋_GB2312" w:hAnsi="仿宋_GB2312" w:cs="仿宋_GB2312" w:hint="eastAsia"/>
          <w:b w:val="0"/>
          <w:color w:val="auto"/>
          <w:sz w:val="28"/>
          <w:szCs w:val="28"/>
          <w:lang w:val="en-US" w:eastAsia="zh-CN" w:bidi="ar"/>
        </w:rPr>
        <w:t>项目</w:t>
      </w:r>
      <w:r>
        <w:rPr>
          <w:rStyle w:val="Strong"/>
          <w:rFonts w:ascii="仿宋_GB2312" w:eastAsia="仿宋_GB2312" w:hAnsi="仿宋_GB2312" w:cs="仿宋_GB2312" w:hint="eastAsia"/>
          <w:b w:val="0"/>
          <w:color w:val="auto"/>
          <w:sz w:val="28"/>
          <w:szCs w:val="28"/>
          <w:lang w:eastAsia="zh-CN" w:bidi="ar"/>
        </w:rPr>
        <w:t>及室外工程</w:t>
      </w:r>
      <w:r>
        <w:rPr>
          <w:rStyle w:val="Strong"/>
          <w:rFonts w:ascii="仿宋_GB2312" w:eastAsia="仿宋_GB2312" w:hAnsi="仿宋_GB2312" w:cs="仿宋_GB2312" w:hint="eastAsia"/>
          <w:b w:val="0"/>
          <w:color w:val="auto"/>
          <w:sz w:val="28"/>
          <w:szCs w:val="28"/>
          <w:lang w:val="en-US" w:eastAsia="zh-CN" w:bidi="ar"/>
        </w:rPr>
        <w:t>及</w:t>
      </w:r>
      <w:r>
        <w:rPr>
          <w:rStyle w:val="Strong"/>
          <w:rFonts w:ascii="仿宋_GB2312" w:eastAsia="仿宋_GB2312" w:hAnsi="仿宋_GB2312" w:cs="仿宋_GB2312" w:hint="eastAsia"/>
          <w:b w:val="0"/>
          <w:color w:val="auto"/>
          <w:sz w:val="28"/>
          <w:szCs w:val="28"/>
          <w:lang w:eastAsia="zh-CN" w:bidi="ar"/>
        </w:rPr>
        <w:t>中心学校围墙、教师宿舍、食堂零星工程项目</w:t>
      </w:r>
      <w:r>
        <w:rPr>
          <w:rStyle w:val="Strong"/>
          <w:rFonts w:ascii="仿宋_GB2312" w:eastAsia="仿宋_GB2312" w:hAnsi="仿宋_GB2312" w:cs="仿宋_GB2312" w:hint="eastAsia"/>
          <w:b w:val="0"/>
          <w:color w:val="auto"/>
          <w:sz w:val="28"/>
          <w:szCs w:val="28"/>
          <w:lang w:val="en-US" w:eastAsia="zh-CN" w:bidi="ar"/>
        </w:rPr>
        <w:t>工程款</w:t>
      </w:r>
      <w:r>
        <w:rPr>
          <w:rStyle w:val="Strong"/>
          <w:rFonts w:ascii="仿宋_GB2312" w:eastAsia="仿宋_GB2312" w:hAnsi="仿宋_GB2312" w:cs="仿宋_GB2312" w:hint="eastAsia"/>
          <w:b w:val="0"/>
          <w:color w:val="auto"/>
          <w:sz w:val="28"/>
          <w:szCs w:val="28"/>
          <w:lang w:bidi="ar"/>
        </w:rPr>
        <w:t>等重点项目，履行了</w:t>
      </w:r>
      <w:r>
        <w:rPr>
          <w:rStyle w:val="Strong"/>
          <w:rFonts w:ascii="仿宋_GB2312" w:eastAsia="仿宋_GB2312" w:hAnsi="仿宋_GB2312" w:cs="仿宋_GB2312" w:hint="eastAsia"/>
          <w:b w:val="0"/>
          <w:color w:val="auto"/>
          <w:sz w:val="28"/>
          <w:szCs w:val="28"/>
          <w:lang w:val="en-US" w:eastAsia="zh-CN" w:bidi="ar"/>
        </w:rPr>
        <w:t>乌苏市古尔图镇中心学校的</w:t>
      </w:r>
      <w:r>
        <w:rPr>
          <w:rStyle w:val="Strong"/>
          <w:rFonts w:ascii="仿宋_GB2312" w:eastAsia="仿宋_GB2312" w:hAnsi="仿宋_GB2312" w:cs="仿宋_GB2312" w:hint="eastAsia"/>
          <w:b w:val="0"/>
          <w:color w:val="auto"/>
          <w:sz w:val="28"/>
          <w:szCs w:val="28"/>
          <w:lang w:bidi="ar"/>
        </w:rPr>
        <w:t>主要职责。</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本年度预算安排的重点项目支出</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万元，项目总支出</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万元，重点支出保障率为</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（四）部门单位整体支出规模</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（1）年初预算执行情况</w:t>
      </w:r>
    </w:p>
    <w:p>
      <w:pPr>
        <w:pStyle w:val="ListParagraph"/>
        <w:snapToGrid w:val="0"/>
        <w:spacing w:line="540" w:lineRule="exact"/>
        <w:ind w:firstLine="640"/>
        <w:rPr>
          <w:rStyle w:val="Strong"/>
          <w:rFonts w:ascii="仿宋_GB2312" w:eastAsia="仿宋_GB2312" w:hAnsi="仿宋_GB2312" w:cs="仿宋_GB2312" w:hint="eastAsia"/>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我单位年初预算数为</w:t>
      </w:r>
      <w:r>
        <w:rPr>
          <w:rStyle w:val="Strong"/>
          <w:rFonts w:ascii="仿宋_GB2312" w:eastAsia="仿宋_GB2312" w:hAnsi="仿宋_GB2312" w:cs="仿宋_GB2312" w:hint="eastAsia"/>
          <w:b w:val="0"/>
          <w:color w:val="auto"/>
          <w:sz w:val="28"/>
          <w:szCs w:val="28"/>
          <w:lang w:val="en-US" w:eastAsia="zh-CN" w:bidi="ar"/>
        </w:rPr>
        <w:t>1569.04</w:t>
      </w:r>
      <w:r>
        <w:rPr>
          <w:rStyle w:val="Strong"/>
          <w:rFonts w:ascii="仿宋_GB2312" w:eastAsia="仿宋_GB2312" w:hAnsi="仿宋_GB2312" w:cs="仿宋_GB2312" w:hint="eastAsia"/>
          <w:b w:val="0"/>
          <w:color w:val="auto"/>
          <w:sz w:val="28"/>
          <w:szCs w:val="28"/>
          <w:lang w:bidi="ar"/>
        </w:rPr>
        <w:t>万元，实际预算执行数</w:t>
      </w:r>
      <w:r>
        <w:rPr>
          <w:rStyle w:val="Strong"/>
          <w:rFonts w:ascii="仿宋_GB2312" w:eastAsia="仿宋_GB2312" w:hAnsi="仿宋_GB2312" w:cs="仿宋_GB2312" w:hint="eastAsia"/>
          <w:b w:val="0"/>
          <w:color w:val="auto"/>
          <w:sz w:val="28"/>
          <w:szCs w:val="28"/>
          <w:lang w:val="en-US" w:eastAsia="zh-CN" w:bidi="ar"/>
        </w:rPr>
        <w:t>1569.04</w:t>
      </w:r>
      <w:r>
        <w:rPr>
          <w:rStyle w:val="Strong"/>
          <w:rFonts w:ascii="仿宋_GB2312" w:eastAsia="仿宋_GB2312" w:hAnsi="仿宋_GB2312" w:cs="仿宋_GB2312" w:hint="eastAsia"/>
          <w:b w:val="0"/>
          <w:color w:val="auto"/>
          <w:sz w:val="28"/>
          <w:szCs w:val="28"/>
          <w:lang w:bidi="ar"/>
        </w:rPr>
        <w:t>万元，年初预算执行率为</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（2）全年预算执行情况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全年预算数为</w:t>
      </w:r>
      <w:r>
        <w:rPr>
          <w:rStyle w:val="Strong"/>
          <w:rFonts w:ascii="仿宋_GB2312" w:eastAsia="仿宋_GB2312" w:hAnsi="仿宋_GB2312" w:cs="仿宋_GB2312" w:hint="eastAsia"/>
          <w:b w:val="0"/>
          <w:color w:val="auto"/>
          <w:sz w:val="28"/>
          <w:szCs w:val="28"/>
          <w:lang w:val="en-US" w:eastAsia="zh-CN" w:bidi="ar"/>
        </w:rPr>
        <w:t>2127.47</w:t>
      </w:r>
      <w:r>
        <w:rPr>
          <w:rStyle w:val="Strong"/>
          <w:rFonts w:ascii="仿宋_GB2312" w:eastAsia="仿宋_GB2312" w:hAnsi="仿宋_GB2312" w:cs="仿宋_GB2312" w:hint="eastAsia"/>
          <w:b w:val="0"/>
          <w:color w:val="auto"/>
          <w:sz w:val="28"/>
          <w:szCs w:val="28"/>
          <w:lang w:bidi="ar"/>
        </w:rPr>
        <w:t>万元，全年实际支出资金</w:t>
      </w:r>
      <w:r>
        <w:rPr>
          <w:rStyle w:val="Strong"/>
          <w:rFonts w:ascii="仿宋_GB2312" w:eastAsia="仿宋_GB2312" w:hAnsi="仿宋_GB2312" w:cs="仿宋_GB2312" w:hint="eastAsia"/>
          <w:b w:val="0"/>
          <w:color w:val="auto"/>
          <w:sz w:val="28"/>
          <w:szCs w:val="28"/>
          <w:lang w:val="en-US" w:eastAsia="zh-CN" w:bidi="ar"/>
        </w:rPr>
        <w:t>2127.47</w:t>
      </w:r>
      <w:r>
        <w:rPr>
          <w:rStyle w:val="Strong"/>
          <w:rFonts w:ascii="仿宋_GB2312" w:eastAsia="仿宋_GB2312" w:hAnsi="仿宋_GB2312" w:cs="仿宋_GB2312" w:hint="eastAsia"/>
          <w:b w:val="0"/>
          <w:color w:val="auto"/>
          <w:sz w:val="28"/>
          <w:szCs w:val="28"/>
          <w:lang w:bidi="ar"/>
        </w:rPr>
        <w:t>万元，全年预算执行率为</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2.预算调整情况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我单位年初批复预算数</w:t>
      </w:r>
      <w:r>
        <w:rPr>
          <w:rStyle w:val="Strong"/>
          <w:rFonts w:ascii="仿宋_GB2312" w:eastAsia="仿宋_GB2312" w:hAnsi="仿宋_GB2312" w:cs="仿宋_GB2312" w:hint="eastAsia"/>
          <w:b w:val="0"/>
          <w:color w:val="auto"/>
          <w:sz w:val="28"/>
          <w:szCs w:val="28"/>
          <w:lang w:val="en-US" w:eastAsia="zh-CN" w:bidi="ar"/>
        </w:rPr>
        <w:t>1569.04</w:t>
      </w:r>
      <w:r>
        <w:rPr>
          <w:rStyle w:val="Strong"/>
          <w:rFonts w:ascii="仿宋_GB2312" w:eastAsia="仿宋_GB2312" w:hAnsi="仿宋_GB2312" w:cs="仿宋_GB2312" w:hint="eastAsia"/>
          <w:b w:val="0"/>
          <w:color w:val="auto"/>
          <w:sz w:val="28"/>
          <w:szCs w:val="28"/>
          <w:lang w:bidi="ar"/>
        </w:rPr>
        <w:t>万元，年中调整数</w:t>
      </w:r>
      <w:r>
        <w:rPr>
          <w:rStyle w:val="Strong"/>
          <w:rFonts w:ascii="仿宋_GB2312" w:eastAsia="仿宋_GB2312" w:hAnsi="仿宋_GB2312" w:cs="仿宋_GB2312" w:hint="eastAsia"/>
          <w:b w:val="0"/>
          <w:color w:val="auto"/>
          <w:sz w:val="28"/>
          <w:szCs w:val="28"/>
          <w:lang w:val="en-US" w:eastAsia="zh-CN" w:bidi="ar"/>
        </w:rPr>
        <w:t>558.43</w:t>
      </w:r>
      <w:r>
        <w:rPr>
          <w:rStyle w:val="Strong"/>
          <w:rFonts w:ascii="仿宋_GB2312" w:eastAsia="仿宋_GB2312" w:hAnsi="仿宋_GB2312" w:cs="仿宋_GB2312" w:hint="eastAsia"/>
          <w:b w:val="0"/>
          <w:color w:val="auto"/>
          <w:sz w:val="28"/>
          <w:szCs w:val="28"/>
          <w:lang w:bidi="ar"/>
        </w:rPr>
        <w:t>万元，调整后全年预算数</w:t>
      </w:r>
      <w:r>
        <w:rPr>
          <w:rStyle w:val="Strong"/>
          <w:rFonts w:ascii="仿宋_GB2312" w:eastAsia="仿宋_GB2312" w:hAnsi="仿宋_GB2312" w:cs="仿宋_GB2312" w:hint="eastAsia"/>
          <w:b w:val="0"/>
          <w:color w:val="auto"/>
          <w:sz w:val="28"/>
          <w:szCs w:val="28"/>
          <w:lang w:val="en-US" w:eastAsia="zh-CN" w:bidi="ar"/>
        </w:rPr>
        <w:t>2127.47</w:t>
      </w:r>
      <w:r>
        <w:rPr>
          <w:rStyle w:val="Strong"/>
          <w:rFonts w:ascii="仿宋_GB2312" w:eastAsia="仿宋_GB2312" w:hAnsi="仿宋_GB2312" w:cs="仿宋_GB2312" w:hint="eastAsia"/>
          <w:b w:val="0"/>
          <w:color w:val="auto"/>
          <w:sz w:val="28"/>
          <w:szCs w:val="28"/>
          <w:lang w:bidi="ar"/>
        </w:rPr>
        <w:t>万元，预算调整率</w:t>
      </w:r>
      <w:r>
        <w:rPr>
          <w:rStyle w:val="Strong"/>
          <w:rFonts w:ascii="仿宋_GB2312" w:eastAsia="仿宋_GB2312" w:hAnsi="仿宋_GB2312" w:cs="仿宋_GB2312" w:hint="eastAsia"/>
          <w:b w:val="0"/>
          <w:color w:val="auto"/>
          <w:sz w:val="28"/>
          <w:szCs w:val="28"/>
          <w:lang w:val="en-US" w:eastAsia="zh-CN" w:bidi="ar"/>
        </w:rPr>
        <w:t>35.59</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 xml:space="preserve">3.政府采购执行情况 </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年初政府采购预算数为</w:t>
      </w:r>
      <w:r>
        <w:rPr>
          <w:rStyle w:val="Strong"/>
          <w:rFonts w:ascii="仿宋_GB2312" w:eastAsia="仿宋_GB2312" w:hAnsi="仿宋_GB2312" w:cs="仿宋_GB2312" w:hint="eastAsia"/>
          <w:b w:val="0"/>
          <w:color w:val="auto"/>
          <w:sz w:val="28"/>
          <w:szCs w:val="28"/>
          <w:lang w:val="en-US" w:eastAsia="zh-CN" w:bidi="ar"/>
        </w:rPr>
        <w:t>17.35</w:t>
      </w:r>
      <w:r>
        <w:rPr>
          <w:rStyle w:val="Strong"/>
          <w:rFonts w:ascii="仿宋_GB2312" w:eastAsia="仿宋_GB2312" w:hAnsi="仿宋_GB2312" w:cs="仿宋_GB2312" w:hint="eastAsia"/>
          <w:b w:val="0"/>
          <w:color w:val="auto"/>
          <w:sz w:val="28"/>
          <w:szCs w:val="28"/>
          <w:lang w:bidi="ar"/>
        </w:rPr>
        <w:t>万元，实际政府采购数为</w:t>
      </w:r>
      <w:r>
        <w:rPr>
          <w:rStyle w:val="Strong"/>
          <w:rFonts w:ascii="仿宋_GB2312" w:eastAsia="仿宋_GB2312" w:hAnsi="仿宋_GB2312" w:cs="仿宋_GB2312" w:hint="eastAsia"/>
          <w:b w:val="0"/>
          <w:color w:val="auto"/>
          <w:sz w:val="28"/>
          <w:szCs w:val="28"/>
          <w:lang w:val="en-US" w:eastAsia="zh-CN" w:bidi="ar"/>
        </w:rPr>
        <w:t>17.35</w:t>
      </w:r>
      <w:r>
        <w:rPr>
          <w:rStyle w:val="Strong"/>
          <w:rFonts w:ascii="仿宋_GB2312" w:eastAsia="仿宋_GB2312" w:hAnsi="仿宋_GB2312" w:cs="仿宋_GB2312" w:hint="eastAsia"/>
          <w:b w:val="0"/>
          <w:color w:val="auto"/>
          <w:sz w:val="28"/>
          <w:szCs w:val="28"/>
          <w:lang w:bidi="ar"/>
        </w:rPr>
        <w:t>万元，年初政府采购执行率为</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（五）评价使用方法和主要内容、涉及范围</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1.评价使用方法</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bookmarkStart w:id="2" w:name="_Hlk49856735"/>
      <w:r>
        <w:rPr>
          <w:rStyle w:val="Strong"/>
          <w:rFonts w:ascii="仿宋_GB2312" w:eastAsia="仿宋_GB2312" w:hAnsi="仿宋_GB2312" w:cs="仿宋_GB2312" w:hint="eastAsia"/>
          <w:b w:val="0"/>
          <w:color w:val="auto"/>
          <w:sz w:val="28"/>
          <w:szCs w:val="28"/>
          <w:lang w:bidi="ar"/>
        </w:rPr>
        <w:t>本次评价主要采取比较法和调查法。一是比较法。对项目支出情况及建设后的产出及效果与项目实施计划目标进行比较，分析预计目标的完成程度。二是调查法（包括抽样调查、现场调查和问卷调查）。抽样调查是从评价项目中，抽取一部分内容进行实地考察和分析，并根据这部分内容的特征去推断项目全部的特征。现场调查是通过现场抽查、测量和检验等方法，对项目效益等指标进行复核性评价。问卷调查是针对项目区利益相关方实施的调查，并对调查结果进行统计、分析和评定。</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2.评价对象及主要内容</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评价的对象及主要内容为:</w:t>
      </w:r>
      <w:r>
        <w:rPr>
          <w:rStyle w:val="Strong"/>
          <w:rFonts w:ascii="仿宋_GB2312" w:eastAsia="仿宋_GB2312" w:hAnsi="仿宋_GB2312" w:cs="仿宋_GB2312" w:hint="eastAsia"/>
          <w:b w:val="0"/>
          <w:bCs w:val="0"/>
          <w:color w:val="auto"/>
          <w:sz w:val="28"/>
          <w:szCs w:val="28"/>
          <w:lang w:bidi="ar"/>
        </w:rPr>
        <w:t>一是</w:t>
      </w:r>
      <w:r>
        <w:rPr>
          <w:rStyle w:val="Strong"/>
          <w:rFonts w:ascii="仿宋_GB2312" w:eastAsia="仿宋_GB2312" w:hAnsi="仿宋_GB2312" w:cs="仿宋_GB2312" w:hint="eastAsia"/>
          <w:b w:val="0"/>
          <w:color w:val="auto"/>
          <w:sz w:val="28"/>
          <w:szCs w:val="28"/>
          <w:lang w:bidi="ar"/>
        </w:rPr>
        <w:t>部门单位整体管理及使用情况，具体涉及预算管理、基本支出和专项支出的管理及使用情况；</w:t>
      </w:r>
      <w:r>
        <w:rPr>
          <w:rStyle w:val="Strong"/>
          <w:rFonts w:ascii="仿宋_GB2312" w:eastAsia="仿宋_GB2312" w:hAnsi="仿宋_GB2312" w:cs="仿宋_GB2312" w:hint="eastAsia"/>
          <w:b w:val="0"/>
          <w:bCs w:val="0"/>
          <w:color w:val="auto"/>
          <w:sz w:val="28"/>
          <w:szCs w:val="28"/>
          <w:lang w:bidi="ar"/>
        </w:rPr>
        <w:t>二是</w:t>
      </w:r>
      <w:r>
        <w:rPr>
          <w:rStyle w:val="Strong"/>
          <w:rFonts w:ascii="仿宋_GB2312" w:eastAsia="仿宋_GB2312" w:hAnsi="仿宋_GB2312" w:cs="仿宋_GB2312" w:hint="eastAsia"/>
          <w:b w:val="0"/>
          <w:color w:val="auto"/>
          <w:sz w:val="28"/>
          <w:szCs w:val="28"/>
          <w:lang w:bidi="ar"/>
        </w:rPr>
        <w:t>部门单位整体支出绩效情况，具体涉及部门单位整体支出绩效目标的实现程度，包括是否达到预定产出、效果和效益效率等；</w:t>
      </w:r>
      <w:r>
        <w:rPr>
          <w:rStyle w:val="Strong"/>
          <w:rFonts w:ascii="仿宋_GB2312" w:eastAsia="仿宋_GB2312" w:hAnsi="仿宋_GB2312" w:cs="仿宋_GB2312" w:hint="eastAsia"/>
          <w:b w:val="0"/>
          <w:bCs w:val="0"/>
          <w:color w:val="auto"/>
          <w:sz w:val="28"/>
          <w:szCs w:val="28"/>
          <w:lang w:bidi="ar"/>
        </w:rPr>
        <w:t>三是</w:t>
      </w:r>
      <w:r>
        <w:rPr>
          <w:rStyle w:val="Strong"/>
          <w:rFonts w:ascii="仿宋_GB2312" w:eastAsia="仿宋_GB2312" w:hAnsi="仿宋_GB2312" w:cs="仿宋_GB2312" w:hint="eastAsia"/>
          <w:b w:val="0"/>
          <w:color w:val="auto"/>
          <w:sz w:val="28"/>
          <w:szCs w:val="28"/>
          <w:lang w:bidi="ar"/>
        </w:rPr>
        <w:t>部门单位专项组织实施情况，具体涉及专项组织情况分析和相关管理情况；</w:t>
      </w:r>
      <w:r>
        <w:rPr>
          <w:rStyle w:val="Strong"/>
          <w:rFonts w:ascii="仿宋_GB2312" w:eastAsia="仿宋_GB2312" w:hAnsi="仿宋_GB2312" w:cs="仿宋_GB2312" w:hint="eastAsia"/>
          <w:b w:val="0"/>
          <w:bCs w:val="0"/>
          <w:color w:val="auto"/>
          <w:sz w:val="28"/>
          <w:szCs w:val="28"/>
          <w:lang w:bidi="ar"/>
        </w:rPr>
        <w:t>四是</w:t>
      </w:r>
      <w:r>
        <w:rPr>
          <w:rStyle w:val="Strong"/>
          <w:rFonts w:ascii="仿宋_GB2312" w:eastAsia="仿宋_GB2312" w:hAnsi="仿宋_GB2312" w:cs="仿宋_GB2312" w:hint="eastAsia"/>
          <w:b w:val="0"/>
          <w:color w:val="auto"/>
          <w:sz w:val="28"/>
          <w:szCs w:val="28"/>
          <w:lang w:bidi="ar"/>
        </w:rPr>
        <w:t>资产管理情况，具体涉及资产管理规范性和资产变动情况。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3.涉及的范围</w:t>
      </w:r>
    </w:p>
    <w:bookmarkEnd w:id="2"/>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评价范围是对本单位整体支出从年度总体绩效目标、产出指标、效益指标、满意度指标等方面进行了全方位、多角度综合评价分析。</w:t>
      </w:r>
    </w:p>
    <w:p>
      <w:pPr>
        <w:pStyle w:val="ListParagraph"/>
        <w:numPr>
          <w:ilvl w:val="0"/>
          <w:numId w:val="1"/>
        </w:numPr>
        <w:snapToGrid w:val="0"/>
        <w:spacing w:line="540" w:lineRule="exact"/>
        <w:ind w:firstLineChars="0"/>
        <w:outlineLvl w:val="0"/>
        <w:rPr>
          <w:rFonts w:ascii="黑体" w:eastAsia="黑体" w:hAnsi="黑体" w:cs="仿宋_GB2312"/>
          <w:color w:val="auto"/>
          <w:sz w:val="28"/>
          <w:szCs w:val="28"/>
          <w:lang w:bidi="ar"/>
        </w:rPr>
      </w:pPr>
      <w:bookmarkStart w:id="3" w:name="_Toc32535_WPSOffice_Level1"/>
      <w:r>
        <w:rPr>
          <w:rFonts w:ascii="黑体" w:eastAsia="黑体" w:hAnsi="黑体" w:cs="仿宋_GB2312" w:hint="eastAsia"/>
          <w:color w:val="auto"/>
          <w:sz w:val="28"/>
          <w:szCs w:val="28"/>
          <w:lang w:bidi="ar"/>
        </w:rPr>
        <w:t>部门单位整体支出管理及使用情况</w:t>
      </w:r>
      <w:bookmarkEnd w:id="3"/>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（一）预算管理情况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1.管理制度健全性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本单位为加强预算管理，规范财务行为，已制定《</w:t>
      </w:r>
      <w:r>
        <w:rPr>
          <w:rStyle w:val="Strong"/>
          <w:rFonts w:ascii="仿宋_GB2312" w:eastAsia="仿宋_GB2312" w:hAnsi="仿宋_GB2312" w:cs="仿宋_GB2312" w:hint="eastAsia"/>
          <w:b w:val="0"/>
          <w:color w:val="auto"/>
          <w:sz w:val="28"/>
          <w:szCs w:val="28"/>
          <w:lang w:val="en-US" w:eastAsia="zh-CN" w:bidi="ar"/>
        </w:rPr>
        <w:t>乌苏市古尔图镇中心学校</w:t>
      </w:r>
      <w:r>
        <w:rPr>
          <w:rStyle w:val="Strong"/>
          <w:rFonts w:ascii="仿宋_GB2312" w:eastAsia="仿宋_GB2312" w:hAnsi="仿宋_GB2312" w:cs="仿宋_GB2312" w:hint="eastAsia"/>
          <w:b w:val="0"/>
          <w:color w:val="auto"/>
          <w:sz w:val="28"/>
          <w:szCs w:val="28"/>
          <w:lang w:bidi="ar"/>
        </w:rPr>
        <w:t>部门单位预算绩效管理工作实施办法》，《</w:t>
      </w:r>
      <w:r>
        <w:rPr>
          <w:rStyle w:val="Strong"/>
          <w:rFonts w:ascii="仿宋_GB2312" w:eastAsia="仿宋_GB2312" w:hAnsi="仿宋_GB2312" w:cs="仿宋_GB2312" w:hint="eastAsia"/>
          <w:b w:val="0"/>
          <w:color w:val="auto"/>
          <w:sz w:val="28"/>
          <w:szCs w:val="28"/>
          <w:lang w:val="en-US" w:eastAsia="zh-CN" w:bidi="ar"/>
        </w:rPr>
        <w:t>乌苏市古尔图镇中心学校</w:t>
      </w:r>
      <w:r>
        <w:rPr>
          <w:rStyle w:val="Strong"/>
          <w:rFonts w:ascii="仿宋_GB2312" w:eastAsia="仿宋_GB2312" w:hAnsi="仿宋_GB2312" w:cs="仿宋_GB2312" w:hint="eastAsia"/>
          <w:b w:val="0"/>
          <w:color w:val="auto"/>
          <w:sz w:val="28"/>
          <w:szCs w:val="28"/>
          <w:lang w:bidi="ar"/>
        </w:rPr>
        <w:t>单位财务管理制度》等健全完整的各项管理制度，有效保障了我单位高效的履行工作职能，较好的促进事业发展。</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2.资金使用合规性和安全性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3.预决算信息公开性</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Fonts w:ascii="仿宋_GB2312" w:eastAsia="仿宋_GB2312" w:hAnsi="仿宋" w:cs="宋体" w:hint="eastAsia"/>
          <w:bCs/>
          <w:color w:val="auto"/>
          <w:sz w:val="28"/>
          <w:szCs w:val="28"/>
          <w:lang w:bidi="ar"/>
        </w:rPr>
        <w:t>按照</w:t>
      </w:r>
      <w:r>
        <w:rPr>
          <w:rFonts w:ascii="仿宋_GB2312" w:eastAsia="仿宋_GB2312" w:hAnsi="仿宋" w:cs="宋体" w:hint="eastAsia"/>
          <w:bCs/>
          <w:color w:val="auto"/>
          <w:sz w:val="28"/>
          <w:szCs w:val="28"/>
          <w:lang w:val="en-US" w:eastAsia="zh-CN" w:bidi="ar"/>
        </w:rPr>
        <w:t>乌苏市</w:t>
      </w:r>
      <w:r>
        <w:rPr>
          <w:rFonts w:ascii="仿宋_GB2312" w:eastAsia="仿宋_GB2312" w:hAnsi="仿宋" w:cs="宋体" w:hint="eastAsia"/>
          <w:bCs/>
          <w:color w:val="auto"/>
          <w:sz w:val="28"/>
          <w:szCs w:val="28"/>
          <w:lang w:bidi="ar"/>
        </w:rPr>
        <w:t>财政局预决算信息公开工作要求，我单位在</w:t>
      </w:r>
      <w:r>
        <w:rPr>
          <w:rFonts w:ascii="仿宋_GB2312" w:eastAsia="仿宋_GB2312" w:hAnsi="仿宋" w:cs="宋体" w:hint="eastAsia"/>
          <w:bCs/>
          <w:color w:val="auto"/>
          <w:sz w:val="28"/>
          <w:szCs w:val="28"/>
          <w:lang w:val="en-US" w:eastAsia="zh-CN" w:bidi="ar"/>
        </w:rPr>
        <w:t>乌苏市</w:t>
      </w:r>
      <w:r>
        <w:rPr>
          <w:rFonts w:ascii="仿宋_GB2312" w:eastAsia="仿宋_GB2312" w:hAnsi="仿宋" w:cs="宋体" w:hint="eastAsia"/>
          <w:bCs/>
          <w:color w:val="auto"/>
          <w:sz w:val="28"/>
          <w:szCs w:val="28"/>
          <w:lang w:bidi="ar"/>
        </w:rPr>
        <w:t>地区政府信息网财政信息公开专栏对本单位预决算信息进行了公开。公开内容主要包括：本单位主要职能、机构及人员情况，收入、支出预算安排及决算情况，</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预算安排及决算情况，政府采购情况，国有资产占用情况，预算绩效情况等信息，主动接受社会各界监督。</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（二）基本支出和使用情况</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1.基本支出和使用情况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2022年本单位基本支出全年预算总额</w:t>
      </w:r>
      <w:r>
        <w:rPr>
          <w:rStyle w:val="Strong"/>
          <w:rFonts w:ascii="仿宋_GB2312" w:eastAsia="仿宋_GB2312" w:hAnsi="仿宋_GB2312" w:cs="仿宋_GB2312" w:hint="eastAsia"/>
          <w:b w:val="0"/>
          <w:color w:val="auto"/>
          <w:sz w:val="28"/>
          <w:szCs w:val="28"/>
          <w:lang w:val="en-US" w:eastAsia="zh-CN" w:bidi="ar"/>
        </w:rPr>
        <w:t>2008.31</w:t>
      </w:r>
      <w:r>
        <w:rPr>
          <w:rStyle w:val="Strong"/>
          <w:rFonts w:ascii="仿宋_GB2312" w:eastAsia="仿宋_GB2312" w:hAnsi="仿宋_GB2312" w:cs="仿宋_GB2312" w:hint="eastAsia"/>
          <w:b w:val="0"/>
          <w:color w:val="auto"/>
          <w:sz w:val="28"/>
          <w:szCs w:val="28"/>
          <w:lang w:bidi="ar"/>
        </w:rPr>
        <w:t>万元，其中：人员经费</w:t>
      </w:r>
      <w:r>
        <w:rPr>
          <w:rStyle w:val="Strong"/>
          <w:rFonts w:ascii="仿宋_GB2312" w:eastAsia="仿宋_GB2312" w:hAnsi="仿宋_GB2312" w:cs="仿宋_GB2312" w:hint="eastAsia"/>
          <w:b w:val="0"/>
          <w:color w:val="auto"/>
          <w:sz w:val="28"/>
          <w:szCs w:val="28"/>
          <w:lang w:val="en-US" w:eastAsia="zh-CN" w:bidi="ar"/>
        </w:rPr>
        <w:t>2006.06</w:t>
      </w:r>
      <w:r>
        <w:rPr>
          <w:rStyle w:val="Strong"/>
          <w:rFonts w:ascii="仿宋_GB2312" w:eastAsia="仿宋_GB2312" w:hAnsi="仿宋_GB2312" w:cs="仿宋_GB2312" w:hint="eastAsia"/>
          <w:b w:val="0"/>
          <w:color w:val="auto"/>
          <w:sz w:val="28"/>
          <w:szCs w:val="28"/>
          <w:lang w:bidi="ar"/>
        </w:rPr>
        <w:t>万元，公用经费</w:t>
      </w:r>
      <w:r>
        <w:rPr>
          <w:rStyle w:val="Strong"/>
          <w:rFonts w:ascii="仿宋_GB2312" w:eastAsia="仿宋_GB2312" w:hAnsi="仿宋_GB2312" w:cs="仿宋_GB2312" w:hint="eastAsia"/>
          <w:b w:val="0"/>
          <w:color w:val="auto"/>
          <w:sz w:val="28"/>
          <w:szCs w:val="28"/>
          <w:lang w:val="en-US" w:eastAsia="zh-CN" w:bidi="ar"/>
        </w:rPr>
        <w:t>2.25</w:t>
      </w:r>
      <w:r>
        <w:rPr>
          <w:rStyle w:val="Strong"/>
          <w:rFonts w:ascii="仿宋_GB2312" w:eastAsia="仿宋_GB2312" w:hAnsi="仿宋_GB2312" w:cs="仿宋_GB2312" w:hint="eastAsia"/>
          <w:b w:val="0"/>
          <w:color w:val="auto"/>
          <w:sz w:val="28"/>
          <w:szCs w:val="28"/>
          <w:lang w:bidi="ar"/>
        </w:rPr>
        <w:t>万元。实际支出</w:t>
      </w:r>
      <w:r>
        <w:rPr>
          <w:rStyle w:val="Strong"/>
          <w:rFonts w:ascii="仿宋_GB2312" w:eastAsia="仿宋_GB2312" w:hAnsi="仿宋_GB2312" w:cs="仿宋_GB2312" w:hint="eastAsia"/>
          <w:b w:val="0"/>
          <w:color w:val="auto"/>
          <w:sz w:val="28"/>
          <w:szCs w:val="28"/>
          <w:lang w:val="en-US" w:eastAsia="zh-CN" w:bidi="ar"/>
        </w:rPr>
        <w:t>2008.31</w:t>
      </w:r>
      <w:r>
        <w:rPr>
          <w:rStyle w:val="Strong"/>
          <w:rFonts w:ascii="仿宋_GB2312" w:eastAsia="仿宋_GB2312" w:hAnsi="仿宋_GB2312" w:cs="仿宋_GB2312" w:hint="eastAsia"/>
          <w:b w:val="0"/>
          <w:color w:val="auto"/>
          <w:sz w:val="28"/>
          <w:szCs w:val="28"/>
          <w:lang w:bidi="ar"/>
        </w:rPr>
        <w:t>万元，基本支出预算执行率</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基本支出严格按照财务管理制度执行。人员工资由编办、人社局、社保局、医保局、住房公积金管理办公室及财政局等部门逐个审核，按月申报及发放。基本公用经费用于支付办公室日常的邮电费、办公用品、办公耗材款等。</w:t>
      </w:r>
    </w:p>
    <w:p>
      <w:pPr>
        <w:pStyle w:val="ListParagraph"/>
        <w:snapToGrid w:val="0"/>
        <w:spacing w:line="540" w:lineRule="exact"/>
        <w:ind w:firstLine="643"/>
        <w:outlineLvl w:val="2"/>
        <w:rPr>
          <w:rStyle w:val="Strong"/>
          <w:rFonts w:ascii="仿宋_GB2312" w:eastAsia="仿宋_GB2312" w:hAnsi="仿宋_GB2312" w:cs="仿宋_GB2312"/>
          <w:bCs w:val="0"/>
          <w:color w:val="auto"/>
          <w:sz w:val="28"/>
          <w:szCs w:val="28"/>
          <w:lang w:bidi="ar"/>
        </w:rPr>
      </w:pPr>
      <w:r>
        <w:rPr>
          <w:rStyle w:val="Strong"/>
          <w:rFonts w:ascii="仿宋_GB2312" w:eastAsia="仿宋_GB2312" w:hAnsi="仿宋_GB2312" w:cs="仿宋_GB2312" w:hint="eastAsia"/>
          <w:bCs w:val="0"/>
          <w:color w:val="auto"/>
          <w:sz w:val="28"/>
          <w:szCs w:val="28"/>
          <w:lang w:bidi="ar"/>
        </w:rPr>
        <w:t>2.三公经费控制情况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我单位坚决贯彻落实中央、自治区、地委行署厉行勤俭办公的工作要求，提倡本单位全体干部职工，勤俭节约，切实降低行政运行成本，确保每年</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只减不增。2022年</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bidi="ar"/>
        </w:rPr>
        <w:t>“三公”经费</w:t>
      </w:r>
      <w:r>
        <w:rPr>
          <w:rFonts w:ascii="仿宋_GB2312" w:eastAsia="仿宋_GB2312" w:hAnsi="仿宋" w:cs="宋体" w:hint="eastAsia"/>
          <w:bCs/>
          <w:color w:val="auto"/>
          <w:sz w:val="28"/>
          <w:szCs w:val="28"/>
          <w:lang w:bidi="ar"/>
        </w:rPr>
        <w:t>控制率为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%，其中：因公出国（境）费预算为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万元；公务接待费预算为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万元；公务用车购置费预算为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万元；公务用车运行维护费预算为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万元，实际支出</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万元，公务用车运行维护费控制率</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%，符合财政部门本年预算要求和相关管理制度要求。</w:t>
      </w:r>
    </w:p>
    <w:p>
      <w:pPr>
        <w:pStyle w:val="ListParagraph"/>
        <w:snapToGrid w:val="0"/>
        <w:spacing w:line="540" w:lineRule="exact"/>
        <w:ind w:firstLine="643"/>
        <w:outlineLvl w:val="1"/>
        <w:rPr>
          <w:rStyle w:val="Strong"/>
          <w:rFonts w:ascii="楷体_GB2312" w:eastAsia="楷体_GB2312" w:hAnsi="仿宋_GB2312" w:cs="仿宋_GB2312"/>
          <w:bCs w:val="0"/>
          <w:color w:val="auto"/>
          <w:sz w:val="28"/>
          <w:szCs w:val="28"/>
          <w:lang w:bidi="ar"/>
        </w:rPr>
      </w:pPr>
      <w:r>
        <w:rPr>
          <w:rStyle w:val="Strong"/>
          <w:rFonts w:ascii="楷体_GB2312" w:eastAsia="楷体_GB2312" w:hAnsi="仿宋_GB2312" w:cs="仿宋_GB2312" w:hint="eastAsia"/>
          <w:bCs w:val="0"/>
          <w:color w:val="auto"/>
          <w:sz w:val="28"/>
          <w:szCs w:val="28"/>
          <w:lang w:bidi="ar"/>
        </w:rPr>
        <w:t>（三）专项支出管理和使用情况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专项资金的使用符合国家法规和财务管理制度，专项资金拨付有完整的审批程序和手续，符合项目预算批复或合同规定的用途，不存在截留、挤占、挪用、虚列支出等情况。</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2022年本单位安排专项支出预算总额</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万元，实际支出</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万元，专项支出预算执行率</w:t>
      </w:r>
      <w:r>
        <w:rPr>
          <w:rStyle w:val="Strong"/>
          <w:rFonts w:ascii="仿宋_GB2312" w:eastAsia="仿宋_GB2312" w:hAnsi="仿宋_GB2312" w:cs="仿宋_GB2312" w:hint="eastAsia"/>
          <w:b w:val="0"/>
          <w:color w:val="auto"/>
          <w:sz w:val="28"/>
          <w:szCs w:val="28"/>
          <w:lang w:val="en-US" w:eastAsia="zh-CN" w:bidi="ar"/>
        </w:rPr>
        <w:t>100.00%</w:t>
      </w:r>
      <w:r>
        <w:rPr>
          <w:rStyle w:val="Strong"/>
          <w:rFonts w:ascii="仿宋_GB2312" w:eastAsia="仿宋_GB2312" w:hAnsi="仿宋_GB2312" w:cs="仿宋_GB2312" w:hint="eastAsia"/>
          <w:b w:val="0"/>
          <w:color w:val="auto"/>
          <w:sz w:val="28"/>
          <w:szCs w:val="28"/>
          <w:lang w:bidi="ar"/>
        </w:rPr>
        <w:t>。</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2022年本单位共有</w:t>
      </w:r>
      <w:r>
        <w:rPr>
          <w:rStyle w:val="Strong"/>
          <w:rFonts w:ascii="仿宋_GB2312" w:eastAsia="仿宋_GB2312" w:hAnsi="仿宋_GB2312" w:cs="仿宋_GB2312" w:hint="eastAsia"/>
          <w:b w:val="0"/>
          <w:color w:val="auto"/>
          <w:sz w:val="28"/>
          <w:szCs w:val="28"/>
          <w:lang w:val="en-US" w:eastAsia="zh-CN" w:bidi="ar"/>
        </w:rPr>
        <w:t>4</w:t>
      </w:r>
      <w:r>
        <w:rPr>
          <w:rStyle w:val="Strong"/>
          <w:rFonts w:ascii="仿宋_GB2312" w:eastAsia="仿宋_GB2312" w:hAnsi="仿宋_GB2312" w:cs="仿宋_GB2312" w:hint="eastAsia"/>
          <w:b w:val="0"/>
          <w:color w:val="auto"/>
          <w:sz w:val="28"/>
          <w:szCs w:val="28"/>
          <w:lang w:bidi="ar"/>
        </w:rPr>
        <w:t>个资金项目，其中</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个属经常性项目、</w:t>
      </w:r>
      <w:r>
        <w:rPr>
          <w:rStyle w:val="Strong"/>
          <w:rFonts w:ascii="仿宋_GB2312" w:eastAsia="仿宋_GB2312" w:hAnsi="仿宋_GB2312" w:cs="仿宋_GB2312" w:hint="eastAsia"/>
          <w:b w:val="0"/>
          <w:color w:val="auto"/>
          <w:sz w:val="28"/>
          <w:szCs w:val="28"/>
          <w:lang w:val="en-US" w:eastAsia="zh-CN" w:bidi="ar"/>
        </w:rPr>
        <w:t>1</w:t>
      </w:r>
      <w:r>
        <w:rPr>
          <w:rStyle w:val="Strong"/>
          <w:rFonts w:ascii="仿宋_GB2312" w:eastAsia="仿宋_GB2312" w:hAnsi="仿宋_GB2312" w:cs="仿宋_GB2312" w:hint="eastAsia"/>
          <w:b w:val="0"/>
          <w:color w:val="auto"/>
          <w:sz w:val="28"/>
          <w:szCs w:val="28"/>
          <w:lang w:bidi="ar"/>
        </w:rPr>
        <w:t>个属当年度新增项目，已完成项目</w:t>
      </w:r>
      <w:r>
        <w:rPr>
          <w:rStyle w:val="Strong"/>
          <w:rFonts w:ascii="仿宋_GB2312" w:eastAsia="仿宋_GB2312" w:hAnsi="仿宋_GB2312" w:cs="仿宋_GB2312" w:hint="eastAsia"/>
          <w:b w:val="0"/>
          <w:color w:val="auto"/>
          <w:sz w:val="28"/>
          <w:szCs w:val="28"/>
          <w:lang w:val="en-US" w:eastAsia="zh-CN" w:bidi="ar"/>
        </w:rPr>
        <w:t>4</w:t>
      </w:r>
      <w:r>
        <w:rPr>
          <w:rStyle w:val="Strong"/>
          <w:rFonts w:ascii="仿宋_GB2312" w:eastAsia="仿宋_GB2312" w:hAnsi="仿宋_GB2312" w:cs="仿宋_GB2312" w:hint="eastAsia"/>
          <w:b w:val="0"/>
          <w:color w:val="auto"/>
          <w:sz w:val="28"/>
          <w:szCs w:val="28"/>
          <w:lang w:bidi="ar"/>
        </w:rPr>
        <w:t>个、未完成项目</w:t>
      </w:r>
      <w:r>
        <w:rPr>
          <w:rStyle w:val="Strong"/>
          <w:rFonts w:ascii="仿宋_GB2312" w:eastAsia="仿宋_GB2312" w:hAnsi="仿宋_GB2312" w:cs="仿宋_GB2312" w:hint="eastAsia"/>
          <w:b w:val="0"/>
          <w:color w:val="auto"/>
          <w:sz w:val="28"/>
          <w:szCs w:val="28"/>
          <w:lang w:val="en-US" w:eastAsia="zh-CN" w:bidi="ar"/>
        </w:rPr>
        <w:t>0</w:t>
      </w:r>
      <w:r>
        <w:rPr>
          <w:rStyle w:val="Strong"/>
          <w:rFonts w:ascii="仿宋_GB2312" w:eastAsia="仿宋_GB2312" w:hAnsi="仿宋_GB2312" w:cs="仿宋_GB2312" w:hint="eastAsia"/>
          <w:b w:val="0"/>
          <w:color w:val="auto"/>
          <w:sz w:val="28"/>
          <w:szCs w:val="28"/>
          <w:lang w:bidi="ar"/>
        </w:rPr>
        <w:t>个。</w:t>
      </w:r>
    </w:p>
    <w:p>
      <w:pPr>
        <w:snapToGrid w:val="0"/>
        <w:spacing w:line="540" w:lineRule="exact"/>
        <w:ind w:left="648"/>
        <w:outlineLvl w:val="0"/>
        <w:rPr>
          <w:rFonts w:ascii="黑体" w:eastAsia="黑体" w:hAnsi="黑体" w:cs="仿宋_GB2312"/>
          <w:color w:val="auto"/>
          <w:sz w:val="28"/>
          <w:szCs w:val="28"/>
          <w:lang w:bidi="ar"/>
        </w:rPr>
      </w:pPr>
      <w:bookmarkStart w:id="4" w:name="_Toc1734_WPSOffice_Level1"/>
      <w:r>
        <w:rPr>
          <w:rFonts w:ascii="黑体" w:eastAsia="黑体" w:hAnsi="黑体" w:cs="仿宋_GB2312" w:hint="eastAsia"/>
          <w:color w:val="auto"/>
          <w:sz w:val="28"/>
          <w:szCs w:val="28"/>
          <w:lang w:bidi="ar"/>
        </w:rPr>
        <w:t>三、部门单位专项组织实施情况</w:t>
      </w:r>
      <w:bookmarkEnd w:id="4"/>
    </w:p>
    <w:p>
      <w:pPr>
        <w:pStyle w:val="ListParagraph"/>
        <w:snapToGrid w:val="0"/>
        <w:spacing w:line="540" w:lineRule="exact"/>
        <w:ind w:firstLine="640"/>
        <w:rPr>
          <w:rStyle w:val="Strong"/>
          <w:rFonts w:ascii="仿宋_GB2312" w:eastAsia="仿宋_GB2312" w:hAnsi="仿宋_GB2312" w:cs="仿宋_GB2312"/>
          <w:bCs w:val="0"/>
          <w:color w:val="auto"/>
          <w:spacing w:val="-4"/>
          <w:sz w:val="28"/>
          <w:szCs w:val="28"/>
        </w:rPr>
      </w:pPr>
      <w:r>
        <w:rPr>
          <w:rStyle w:val="Strong"/>
          <w:rFonts w:ascii="仿宋_GB2312" w:eastAsia="仿宋_GB2312" w:hAnsi="仿宋_GB2312" w:cs="仿宋_GB2312" w:hint="eastAsia"/>
          <w:b w:val="0"/>
          <w:color w:val="auto"/>
          <w:sz w:val="28"/>
          <w:szCs w:val="28"/>
          <w:lang w:bidi="ar"/>
        </w:rPr>
        <w:t>本年我单位实施专项项目</w:t>
      </w:r>
      <w:r>
        <w:rPr>
          <w:rStyle w:val="Strong"/>
          <w:rFonts w:ascii="仿宋_GB2312" w:eastAsia="仿宋_GB2312" w:hAnsi="仿宋_GB2312" w:cs="仿宋_GB2312" w:hint="eastAsia"/>
          <w:b w:val="0"/>
          <w:color w:val="auto"/>
          <w:sz w:val="28"/>
          <w:szCs w:val="28"/>
          <w:lang w:val="en-US" w:eastAsia="zh-CN" w:bidi="ar"/>
        </w:rPr>
        <w:t>6</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119.16</w:t>
      </w:r>
      <w:r>
        <w:rPr>
          <w:rStyle w:val="Strong"/>
          <w:rFonts w:ascii="仿宋_GB2312" w:eastAsia="仿宋_GB2312" w:hAnsi="仿宋_GB2312" w:cs="仿宋_GB2312" w:hint="eastAsia"/>
          <w:b w:val="0"/>
          <w:color w:val="auto"/>
          <w:sz w:val="28"/>
          <w:szCs w:val="28"/>
          <w:lang w:bidi="ar"/>
        </w:rPr>
        <w:t>万元，其中：中央专项项目</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78.41</w:t>
      </w:r>
      <w:r>
        <w:rPr>
          <w:rStyle w:val="Strong"/>
          <w:rFonts w:ascii="仿宋_GB2312" w:eastAsia="仿宋_GB2312" w:hAnsi="仿宋_GB2312" w:cs="仿宋_GB2312" w:hint="eastAsia"/>
          <w:b w:val="0"/>
          <w:color w:val="auto"/>
          <w:sz w:val="28"/>
          <w:szCs w:val="28"/>
          <w:lang w:bidi="ar"/>
        </w:rPr>
        <w:t>万元，自治区专项项目</w:t>
      </w:r>
      <w:r>
        <w:rPr>
          <w:rStyle w:val="Strong"/>
          <w:rFonts w:ascii="仿宋_GB2312" w:eastAsia="仿宋_GB2312" w:hAnsi="仿宋_GB2312" w:cs="仿宋_GB2312" w:hint="eastAsia"/>
          <w:b w:val="0"/>
          <w:color w:val="auto"/>
          <w:sz w:val="28"/>
          <w:szCs w:val="28"/>
          <w:lang w:val="en-US" w:eastAsia="zh-CN" w:bidi="ar"/>
        </w:rPr>
        <w:t>3</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36.13</w:t>
      </w:r>
      <w:r>
        <w:rPr>
          <w:rStyle w:val="Strong"/>
          <w:rFonts w:ascii="仿宋_GB2312" w:eastAsia="仿宋_GB2312" w:hAnsi="仿宋_GB2312" w:cs="仿宋_GB2312" w:hint="eastAsia"/>
          <w:b w:val="0"/>
          <w:color w:val="auto"/>
          <w:sz w:val="28"/>
          <w:szCs w:val="28"/>
          <w:lang w:bidi="ar"/>
        </w:rPr>
        <w:t>万元，地区本级专项项目</w:t>
      </w:r>
      <w:r>
        <w:rPr>
          <w:rStyle w:val="Strong"/>
          <w:rFonts w:ascii="仿宋_GB2312" w:eastAsia="仿宋_GB2312" w:hAnsi="仿宋_GB2312" w:cs="仿宋_GB2312" w:hint="eastAsia"/>
          <w:b w:val="0"/>
          <w:color w:val="auto"/>
          <w:sz w:val="28"/>
          <w:szCs w:val="28"/>
          <w:lang w:val="en-US" w:eastAsia="zh-CN" w:bidi="ar"/>
        </w:rPr>
        <w:t>2</w:t>
      </w:r>
      <w:r>
        <w:rPr>
          <w:rStyle w:val="Strong"/>
          <w:rFonts w:ascii="仿宋_GB2312" w:eastAsia="仿宋_GB2312" w:hAnsi="仿宋_GB2312" w:cs="仿宋_GB2312" w:hint="eastAsia"/>
          <w:b w:val="0"/>
          <w:color w:val="auto"/>
          <w:sz w:val="28"/>
          <w:szCs w:val="28"/>
          <w:lang w:bidi="ar"/>
        </w:rPr>
        <w:t>个涉及金额</w:t>
      </w:r>
      <w:r>
        <w:rPr>
          <w:rStyle w:val="Strong"/>
          <w:rFonts w:ascii="仿宋_GB2312" w:eastAsia="仿宋_GB2312" w:hAnsi="仿宋_GB2312" w:cs="仿宋_GB2312" w:hint="eastAsia"/>
          <w:b w:val="0"/>
          <w:color w:val="auto"/>
          <w:sz w:val="28"/>
          <w:szCs w:val="28"/>
          <w:lang w:val="en-US" w:eastAsia="zh-CN" w:bidi="ar"/>
        </w:rPr>
        <w:t>4.62</w:t>
      </w:r>
      <w:r>
        <w:rPr>
          <w:rStyle w:val="Strong"/>
          <w:rFonts w:ascii="仿宋_GB2312" w:eastAsia="仿宋_GB2312" w:hAnsi="仿宋_GB2312" w:cs="仿宋_GB2312" w:hint="eastAsia"/>
          <w:b w:val="0"/>
          <w:color w:val="auto"/>
          <w:sz w:val="28"/>
          <w:szCs w:val="28"/>
          <w:lang w:bidi="ar"/>
        </w:rPr>
        <w:t>万元。</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bCs w:val="0"/>
          <w:color w:val="auto"/>
          <w:spacing w:val="-4"/>
          <w:sz w:val="28"/>
          <w:szCs w:val="28"/>
        </w:rPr>
        <w:t>（一）</w:t>
      </w:r>
      <w:r>
        <w:rPr>
          <w:rStyle w:val="Strong"/>
          <w:rFonts w:ascii="楷体_GB2312" w:eastAsia="楷体_GB2312" w:hAnsi="仿宋_GB2312" w:cs="仿宋_GB2312" w:hint="eastAsia"/>
          <w:bCs w:val="0"/>
          <w:color w:val="auto"/>
          <w:spacing w:val="-4"/>
          <w:sz w:val="28"/>
          <w:szCs w:val="28"/>
          <w:lang w:val="en-US" w:eastAsia="zh-CN"/>
        </w:rPr>
        <w:t>乌苏市古尔图镇中心学校</w:t>
      </w:r>
      <w:r>
        <w:rPr>
          <w:rFonts w:ascii="楷体_GB2312" w:eastAsia="楷体_GB2312" w:hAnsi="仿宋_GB2312" w:cs="仿宋_GB2312" w:hint="eastAsia"/>
          <w:b/>
          <w:color w:val="auto"/>
          <w:sz w:val="28"/>
          <w:szCs w:val="28"/>
          <w:lang w:bidi="ar"/>
        </w:rPr>
        <w:t>单位</w:t>
      </w:r>
      <w:r>
        <w:rPr>
          <w:rStyle w:val="Strong"/>
          <w:rFonts w:ascii="楷体_GB2312" w:eastAsia="楷体_GB2312" w:hAnsi="仿宋_GB2312" w:cs="仿宋_GB2312" w:hint="eastAsia"/>
          <w:bCs w:val="0"/>
          <w:color w:val="auto"/>
          <w:spacing w:val="-4"/>
          <w:sz w:val="28"/>
          <w:szCs w:val="28"/>
        </w:rPr>
        <w:t>项目专项组织情况分析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1.前期准备</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我单位成立</w:t>
      </w:r>
      <w:r>
        <w:rPr>
          <w:rStyle w:val="Strong"/>
          <w:rFonts w:ascii="仿宋_GB2312" w:eastAsia="仿宋_GB2312" w:hAnsi="仿宋_GB2312" w:cs="仿宋_GB2312" w:hint="eastAsia"/>
          <w:b w:val="0"/>
          <w:color w:val="auto"/>
          <w:sz w:val="28"/>
          <w:szCs w:val="28"/>
          <w:lang w:val="en-US" w:eastAsia="zh-CN" w:bidi="ar"/>
        </w:rPr>
        <w:t>绩效评价工作</w:t>
      </w:r>
      <w:r>
        <w:rPr>
          <w:rStyle w:val="Strong"/>
          <w:rFonts w:ascii="仿宋_GB2312" w:eastAsia="仿宋_GB2312" w:hAnsi="仿宋_GB2312" w:cs="仿宋_GB2312" w:hint="eastAsia"/>
          <w:b w:val="0"/>
          <w:color w:val="auto"/>
          <w:sz w:val="28"/>
          <w:szCs w:val="28"/>
          <w:lang w:bidi="ar"/>
        </w:rPr>
        <w:t>小组，成员如下：</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魏建华</w:t>
      </w:r>
      <w:r>
        <w:rPr>
          <w:rStyle w:val="Strong"/>
          <w:rFonts w:ascii="仿宋_GB2312" w:eastAsia="仿宋_GB2312" w:hAnsi="仿宋_GB2312" w:cs="仿宋_GB2312" w:hint="eastAsia"/>
          <w:b w:val="0"/>
          <w:color w:val="auto"/>
          <w:sz w:val="28"/>
          <w:szCs w:val="28"/>
          <w:lang w:bidi="ar"/>
        </w:rPr>
        <w:t>任组长，绩效评价工作职责为负责全盘工作。</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谢文辉、杨峰</w:t>
      </w:r>
      <w:r>
        <w:rPr>
          <w:rStyle w:val="Strong"/>
          <w:rFonts w:ascii="仿宋_GB2312" w:eastAsia="仿宋_GB2312" w:hAnsi="仿宋_GB2312" w:cs="仿宋_GB2312" w:hint="eastAsia"/>
          <w:b w:val="0"/>
          <w:color w:val="auto"/>
          <w:sz w:val="28"/>
          <w:szCs w:val="28"/>
          <w:lang w:bidi="ar"/>
        </w:rPr>
        <w:t>任副组长，绩效评价工作职责为为对项目实施情况进行实地调查。</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val="en-US" w:eastAsia="zh-CN" w:bidi="ar"/>
        </w:rPr>
        <w:t>柳永泮、郭鹏、时琴、叶尔夏提</w:t>
      </w:r>
      <w:r>
        <w:rPr>
          <w:rStyle w:val="Strong"/>
          <w:rFonts w:ascii="仿宋_GB2312" w:eastAsia="仿宋_GB2312" w:hAnsi="仿宋_GB2312" w:cs="仿宋_GB2312" w:hint="eastAsia"/>
          <w:b w:val="0"/>
          <w:color w:val="auto"/>
          <w:sz w:val="28"/>
          <w:szCs w:val="28"/>
          <w:lang w:bidi="ar"/>
        </w:rPr>
        <w:t>任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2.组织实施</w:t>
      </w:r>
    </w:p>
    <w:p>
      <w:pPr>
        <w:pStyle w:val="ListParagraph"/>
        <w:snapToGrid w:val="0"/>
        <w:spacing w:line="540" w:lineRule="exact"/>
        <w:ind w:firstLine="640"/>
        <w:rPr>
          <w:rStyle w:val="Strong"/>
          <w:rFonts w:ascii="仿宋_GB2312" w:eastAsia="仿宋_GB2312" w:hAnsi="仿宋_GB2312" w:cs="仿宋_GB2312"/>
          <w:b w:val="0"/>
          <w:color w:val="auto"/>
          <w:sz w:val="28"/>
          <w:szCs w:val="28"/>
          <w:lang w:bidi="ar"/>
        </w:rPr>
      </w:pPr>
      <w:r>
        <w:rPr>
          <w:rStyle w:val="Strong"/>
          <w:rFonts w:ascii="仿宋_GB2312" w:eastAsia="仿宋_GB2312" w:hAnsi="仿宋_GB2312" w:cs="仿宋_GB2312" w:hint="eastAsia"/>
          <w:b w:val="0"/>
          <w:color w:val="auto"/>
          <w:sz w:val="28"/>
          <w:szCs w:val="28"/>
          <w:lang w:bidi="ar"/>
        </w:rPr>
        <w:t>根据前期沟通了解评价对象基本情况，编制评价工作方案，经评价组通过实地调研、查阅资料等方式，对数据采集、分析、处理，对项目的决策、管理、绩效进行的综合评价分析，最后归纳整体项目情况与存在问题，撰写部门绩效评价报告。</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（二）专项管理情况分析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1.项目资金情况</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项目预算资金</w:t>
      </w:r>
      <w:r>
        <w:rPr>
          <w:rStyle w:val="Strong"/>
          <w:rFonts w:ascii="仿宋_GB2312" w:eastAsia="仿宋_GB2312" w:hAnsi="仿宋_GB2312" w:cs="仿宋_GB2312" w:hint="eastAsia"/>
          <w:b w:val="0"/>
          <w:bCs w:val="0"/>
          <w:color w:val="auto"/>
          <w:spacing w:val="-4"/>
          <w:sz w:val="28"/>
          <w:szCs w:val="28"/>
          <w:lang w:val="en-US" w:eastAsia="zh-CN"/>
        </w:rPr>
        <w:t>4.62</w:t>
      </w:r>
      <w:r>
        <w:rPr>
          <w:rStyle w:val="Strong"/>
          <w:rFonts w:ascii="仿宋_GB2312" w:eastAsia="仿宋_GB2312" w:hAnsi="仿宋_GB2312" w:cs="仿宋_GB2312" w:hint="eastAsia"/>
          <w:b w:val="0"/>
          <w:bCs w:val="0"/>
          <w:color w:val="auto"/>
          <w:spacing w:val="-4"/>
          <w:sz w:val="28"/>
          <w:szCs w:val="28"/>
        </w:rPr>
        <w:t>万元，实际到位</w:t>
      </w:r>
      <w:r>
        <w:rPr>
          <w:rStyle w:val="Strong"/>
          <w:rFonts w:ascii="仿宋_GB2312" w:eastAsia="仿宋_GB2312" w:hAnsi="仿宋_GB2312" w:cs="仿宋_GB2312" w:hint="eastAsia"/>
          <w:b w:val="0"/>
          <w:bCs w:val="0"/>
          <w:color w:val="auto"/>
          <w:spacing w:val="-4"/>
          <w:sz w:val="28"/>
          <w:szCs w:val="28"/>
          <w:lang w:val="en-US" w:eastAsia="zh-CN"/>
        </w:rPr>
        <w:t>119.16</w:t>
      </w:r>
      <w:r>
        <w:rPr>
          <w:rStyle w:val="Strong"/>
          <w:rFonts w:ascii="仿宋_GB2312" w:eastAsia="仿宋_GB2312" w:hAnsi="仿宋_GB2312" w:cs="仿宋_GB2312" w:hint="eastAsia"/>
          <w:b w:val="0"/>
          <w:bCs w:val="0"/>
          <w:color w:val="auto"/>
          <w:spacing w:val="-4"/>
          <w:sz w:val="28"/>
          <w:szCs w:val="28"/>
        </w:rPr>
        <w:t>万元，实际支出</w:t>
      </w:r>
      <w:r>
        <w:rPr>
          <w:rStyle w:val="Strong"/>
          <w:rFonts w:ascii="仿宋_GB2312" w:eastAsia="仿宋_GB2312" w:hAnsi="仿宋_GB2312" w:cs="仿宋_GB2312" w:hint="eastAsia"/>
          <w:b w:val="0"/>
          <w:bCs w:val="0"/>
          <w:color w:val="auto"/>
          <w:spacing w:val="-4"/>
          <w:sz w:val="28"/>
          <w:szCs w:val="28"/>
          <w:lang w:val="en-US" w:eastAsia="zh-CN"/>
        </w:rPr>
        <w:t>119.16</w:t>
      </w:r>
      <w:r>
        <w:rPr>
          <w:rStyle w:val="Strong"/>
          <w:rFonts w:ascii="仿宋_GB2312" w:eastAsia="仿宋_GB2312" w:hAnsi="仿宋_GB2312" w:cs="仿宋_GB2312" w:hint="eastAsia"/>
          <w:b w:val="0"/>
          <w:bCs w:val="0"/>
          <w:color w:val="auto"/>
          <w:spacing w:val="-4"/>
          <w:sz w:val="28"/>
          <w:szCs w:val="28"/>
        </w:rPr>
        <w:t>万元。到位足额及时，预算编制依据充分，预算编制准确，资金不存在截留、挪用，支付审批合规、不存在用途改变、范围超支和虚列项目支出等情况；项目严格按照《</w:t>
      </w:r>
      <w:r>
        <w:rPr>
          <w:rStyle w:val="Strong"/>
          <w:rFonts w:ascii="仿宋_GB2312" w:eastAsia="仿宋_GB2312" w:hAnsi="仿宋_GB2312" w:cs="仿宋_GB2312" w:hint="eastAsia"/>
          <w:b w:val="0"/>
          <w:bCs w:val="0"/>
          <w:color w:val="auto"/>
          <w:spacing w:val="-4"/>
          <w:sz w:val="28"/>
          <w:szCs w:val="28"/>
          <w:lang w:val="en-US" w:eastAsia="zh-CN"/>
        </w:rPr>
        <w:t>乌苏市古尔图镇中心学校</w:t>
      </w:r>
      <w:r>
        <w:rPr>
          <w:rStyle w:val="Strong"/>
          <w:rFonts w:ascii="仿宋_GB2312" w:eastAsia="仿宋_GB2312" w:hAnsi="仿宋_GB2312" w:cs="仿宋_GB2312" w:hint="eastAsia"/>
          <w:b w:val="0"/>
          <w:bCs w:val="0"/>
          <w:color w:val="auto"/>
          <w:spacing w:val="-4"/>
          <w:sz w:val="28"/>
          <w:szCs w:val="28"/>
        </w:rPr>
        <w:t>单位财务管理制度》执行项目资金，实行专账核算、逐级审批。认真落实项目资金的使用各项管理制度，确保专款专用，及时拨付到位。</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2.项目实施情况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项目组织情况：</w:t>
      </w:r>
      <w:r>
        <w:rPr>
          <w:rStyle w:val="Strong"/>
          <w:rFonts w:ascii="仿宋_GB2312" w:eastAsia="仿宋_GB2312" w:hAnsi="仿宋_GB2312" w:cs="仿宋_GB2312" w:hint="eastAsia"/>
          <w:b w:val="0"/>
          <w:bCs w:val="0"/>
          <w:color w:val="auto"/>
          <w:spacing w:val="-4"/>
          <w:sz w:val="28"/>
          <w:szCs w:val="28"/>
        </w:rPr>
        <w:t>为保证项目实施的质量和时间进度，评价组根据项目人员专业技能、业务水平进行分工，组成项目小组。在项目实施过程中项目成员针对每日工作完成情况向项目组汇报，项目组长根据汇报情况合理调度，确保项目及时完成。</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项目管理情况：</w:t>
      </w:r>
      <w:r>
        <w:rPr>
          <w:rStyle w:val="Strong"/>
          <w:rFonts w:ascii="仿宋_GB2312" w:eastAsia="仿宋_GB2312" w:hAnsi="仿宋_GB2312" w:cs="仿宋_GB2312" w:hint="eastAsia"/>
          <w:b w:val="0"/>
          <w:bCs w:val="0"/>
          <w:color w:val="auto"/>
          <w:spacing w:val="-4"/>
          <w:sz w:val="28"/>
          <w:szCs w:val="28"/>
        </w:rPr>
        <w:t>根据《项目绩效管理办法》及单位相关项目管理制度的规定，对项目的实施进行监督管理。建立健全项目后续各项监督管理制度，确保项目正常运转，长期发挥效益。</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项目监管情况：</w:t>
      </w:r>
      <w:r>
        <w:rPr>
          <w:rStyle w:val="Strong"/>
          <w:rFonts w:ascii="仿宋_GB2312" w:eastAsia="仿宋_GB2312" w:hAnsi="仿宋_GB2312" w:cs="仿宋_GB2312" w:hint="eastAsia"/>
          <w:b w:val="0"/>
          <w:bCs w:val="0"/>
          <w:color w:val="auto"/>
          <w:spacing w:val="-4"/>
          <w:sz w:val="28"/>
          <w:szCs w:val="28"/>
        </w:rPr>
        <w:t>不定期对项目进度和质量等进行监督检查，并且组织开展多种形式的监督检查，以加强日常监管为主，自查、随机抽查、专项检查等方式进行。对检查中发现的问题，及时纠正。</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3.项目绩效情况</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成本控制情况：</w:t>
      </w:r>
      <w:r>
        <w:rPr>
          <w:rStyle w:val="Strong"/>
          <w:rFonts w:ascii="仿宋_GB2312" w:eastAsia="仿宋_GB2312" w:hAnsi="仿宋_GB2312" w:cs="仿宋_GB2312" w:hint="eastAsia"/>
          <w:b w:val="0"/>
          <w:bCs w:val="0"/>
          <w:color w:val="auto"/>
          <w:spacing w:val="-4"/>
          <w:sz w:val="28"/>
          <w:szCs w:val="28"/>
        </w:rPr>
        <w:t>严格按照相关的专项资金管理办法，实行多重审批控制专项经费的支出。</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成本节约情况：</w:t>
      </w:r>
      <w:r>
        <w:rPr>
          <w:rStyle w:val="Strong"/>
          <w:rFonts w:ascii="仿宋_GB2312" w:eastAsia="仿宋_GB2312" w:hAnsi="仿宋_GB2312" w:cs="仿宋_GB2312" w:hint="eastAsia"/>
          <w:b w:val="0"/>
          <w:bCs w:val="0"/>
          <w:color w:val="auto"/>
          <w:spacing w:val="-4"/>
          <w:sz w:val="28"/>
          <w:szCs w:val="28"/>
        </w:rPr>
        <w:t>项目根据实际情况做出合理预算，支出严格控制在预算范围内，本着节约成本，防止资源浪费的原则将项目成效最大化。</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4.项目效率性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项目实施进度：</w:t>
      </w:r>
      <w:r>
        <w:rPr>
          <w:rStyle w:val="Strong"/>
          <w:rFonts w:ascii="仿宋_GB2312" w:eastAsia="仿宋_GB2312" w:hAnsi="仿宋_GB2312" w:cs="仿宋_GB2312" w:hint="eastAsia"/>
          <w:b w:val="0"/>
          <w:bCs w:val="0"/>
          <w:color w:val="auto"/>
          <w:spacing w:val="-4"/>
          <w:sz w:val="28"/>
          <w:szCs w:val="28"/>
        </w:rPr>
        <w:t>项目实施紧扣各个环节，逐步推进，及时与职能部门跟踪项目进展，加强项目督办，充分调动职能部门的积极性，加大项目投入工作的力度，加快项目实施进度。</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项目完成质量：</w:t>
      </w:r>
      <w:r>
        <w:rPr>
          <w:rStyle w:val="Strong"/>
          <w:rFonts w:ascii="仿宋_GB2312" w:eastAsia="仿宋_GB2312" w:hAnsi="仿宋_GB2312" w:cs="仿宋_GB2312" w:hint="eastAsia"/>
          <w:b w:val="0"/>
          <w:bCs w:val="0"/>
          <w:color w:val="auto"/>
          <w:spacing w:val="-4"/>
          <w:sz w:val="28"/>
          <w:szCs w:val="28"/>
        </w:rPr>
        <w:t>项目严格按照年度预期目标执行，项目完成质量达标。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5.项目效益性</w:t>
      </w:r>
    </w:p>
    <w:p>
      <w:pPr>
        <w:pStyle w:val="ListParagraph"/>
        <w:snapToGrid w:val="0"/>
        <w:spacing w:line="540" w:lineRule="exact"/>
        <w:ind w:firstLine="627"/>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预期目标完成程度：</w:t>
      </w:r>
      <w:r>
        <w:rPr>
          <w:rStyle w:val="Strong"/>
          <w:rFonts w:ascii="仿宋_GB2312" w:eastAsia="仿宋_GB2312" w:hAnsi="仿宋_GB2312" w:cs="仿宋_GB2312" w:hint="eastAsia"/>
          <w:b w:val="0"/>
          <w:bCs w:val="0"/>
          <w:color w:val="auto"/>
          <w:spacing w:val="-4"/>
          <w:sz w:val="28"/>
          <w:szCs w:val="28"/>
        </w:rPr>
        <w:t>按预定目标完成了年初所设定的各项指标。专项经费实际支出未超出预算规定，保障了专项工作的开展。</w:t>
      </w:r>
    </w:p>
    <w:p>
      <w:pPr>
        <w:pStyle w:val="ListParagraph"/>
        <w:snapToGrid w:val="0"/>
        <w:spacing w:line="540" w:lineRule="exact"/>
        <w:ind w:left="319" w:firstLine="280" w:leftChars="152" w:firstLineChars="100"/>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color w:val="auto"/>
          <w:spacing w:val="-4"/>
          <w:sz w:val="28"/>
          <w:szCs w:val="28"/>
        </w:rPr>
        <w:t>项目实施对效益的影响：</w:t>
      </w:r>
      <w:r>
        <w:rPr>
          <w:rStyle w:val="Strong"/>
          <w:rFonts w:ascii="仿宋_GB2312" w:eastAsia="仿宋_GB2312" w:hAnsi="仿宋_GB2312" w:cs="仿宋_GB2312" w:hint="eastAsia"/>
          <w:b w:val="0"/>
          <w:bCs w:val="0"/>
          <w:color w:val="auto"/>
          <w:spacing w:val="-4"/>
          <w:sz w:val="28"/>
          <w:szCs w:val="28"/>
        </w:rPr>
        <w:t>项目的实施有效提升了培训人员的绩效管理意识，持续保障了培训工作的顺利开展。</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5" w:name="_Toc27846_WPSOffice_Level1"/>
      <w:r>
        <w:rPr>
          <w:rStyle w:val="Strong"/>
          <w:rFonts w:ascii="黑体" w:eastAsia="黑体" w:hAnsi="黑体" w:cs="仿宋_GB2312" w:hint="eastAsia"/>
          <w:b w:val="0"/>
          <w:color w:val="auto"/>
          <w:spacing w:val="-4"/>
          <w:sz w:val="28"/>
          <w:szCs w:val="28"/>
        </w:rPr>
        <w:t>资产管理情况</w:t>
      </w:r>
      <w:bookmarkEnd w:id="5"/>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（一）资产管理规范性</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我单位2022年资产合计数为</w:t>
      </w:r>
      <w:r>
        <w:rPr>
          <w:rFonts w:ascii="仿宋_GB2312" w:eastAsia="仿宋_GB2312" w:hAnsi="仿宋" w:cs="宋体" w:hint="eastAsia"/>
          <w:bCs/>
          <w:color w:val="auto"/>
          <w:sz w:val="28"/>
          <w:szCs w:val="28"/>
          <w:lang w:val="en-US" w:eastAsia="zh-CN" w:bidi="ar"/>
        </w:rPr>
        <w:t>1546.39</w:t>
      </w:r>
      <w:r>
        <w:rPr>
          <w:rFonts w:ascii="仿宋_GB2312" w:eastAsia="仿宋_GB2312" w:hAnsi="仿宋" w:cs="宋体" w:hint="eastAsia"/>
          <w:bCs/>
          <w:color w:val="auto"/>
          <w:sz w:val="28"/>
          <w:szCs w:val="28"/>
          <w:lang w:bidi="ar"/>
        </w:rPr>
        <w:t>万元，比上年</w:t>
      </w:r>
      <w:r>
        <w:rPr>
          <w:rFonts w:ascii="仿宋_GB2312" w:eastAsia="仿宋_GB2312" w:hAnsi="仿宋" w:cs="宋体" w:hint="eastAsia"/>
          <w:bCs/>
          <w:color w:val="auto"/>
          <w:sz w:val="28"/>
          <w:szCs w:val="28"/>
          <w:lang w:val="en-US" w:eastAsia="zh-CN" w:bidi="ar"/>
        </w:rPr>
        <w:t>增加72.46</w:t>
      </w:r>
      <w:r>
        <w:rPr>
          <w:rFonts w:ascii="仿宋_GB2312" w:eastAsia="仿宋_GB2312" w:hAnsi="仿宋" w:cs="宋体" w:hint="eastAsia"/>
          <w:bCs/>
          <w:color w:val="auto"/>
          <w:sz w:val="28"/>
          <w:szCs w:val="28"/>
          <w:lang w:bidi="ar"/>
        </w:rPr>
        <w:t>万元，主要原因是</w:t>
      </w:r>
      <w:r>
        <w:rPr>
          <w:rFonts w:ascii="仿宋_GB2312" w:eastAsia="仿宋_GB2312" w:hAnsi="仿宋" w:cs="宋体" w:hint="eastAsia"/>
          <w:bCs/>
          <w:color w:val="auto"/>
          <w:sz w:val="28"/>
          <w:szCs w:val="28"/>
          <w:lang w:val="en-US" w:eastAsia="zh-CN" w:bidi="ar"/>
        </w:rPr>
        <w:t>2022年度我校将在建工程转入固定资产</w:t>
      </w:r>
      <w:r>
        <w:rPr>
          <w:rFonts w:ascii="仿宋_GB2312" w:eastAsia="仿宋_GB2312" w:hAnsi="仿宋" w:cs="宋体" w:hint="eastAsia"/>
          <w:bCs/>
          <w:color w:val="auto"/>
          <w:sz w:val="28"/>
          <w:szCs w:val="28"/>
          <w:lang w:bidi="ar"/>
        </w:rPr>
        <w:t>；财政应返还额度</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万元，比上年相比无变化；房屋</w:t>
      </w:r>
      <w:r>
        <w:rPr>
          <w:rFonts w:ascii="仿宋_GB2312" w:eastAsia="仿宋_GB2312" w:hAnsi="仿宋" w:cs="宋体" w:hint="eastAsia"/>
          <w:bCs/>
          <w:color w:val="auto"/>
          <w:sz w:val="28"/>
          <w:szCs w:val="28"/>
          <w:lang w:val="en-US" w:eastAsia="zh-CN" w:bidi="ar"/>
        </w:rPr>
        <w:t>14515.61</w:t>
      </w:r>
      <w:r>
        <w:rPr>
          <w:rFonts w:ascii="仿宋_GB2312" w:eastAsia="仿宋_GB2312" w:hAnsi="仿宋" w:cs="宋体" w:hint="eastAsia"/>
          <w:bCs/>
          <w:color w:val="auto"/>
          <w:sz w:val="28"/>
          <w:szCs w:val="28"/>
          <w:lang w:bidi="ar"/>
        </w:rPr>
        <w:t>平方米</w:t>
      </w:r>
      <w:r>
        <w:rPr>
          <w:rFonts w:ascii="仿宋_GB2312" w:eastAsia="仿宋_GB2312" w:hAnsi="仿宋" w:cs="宋体" w:hint="eastAsia"/>
          <w:bCs/>
          <w:color w:val="auto"/>
          <w:sz w:val="28"/>
          <w:szCs w:val="28"/>
          <w:lang w:val="en-US" w:eastAsia="zh-CN" w:bidi="ar"/>
        </w:rPr>
        <w:t>1786.94</w:t>
      </w:r>
      <w:r>
        <w:rPr>
          <w:rFonts w:ascii="仿宋_GB2312" w:eastAsia="仿宋_GB2312" w:hAnsi="仿宋" w:cs="宋体" w:hint="eastAsia"/>
          <w:bCs/>
          <w:color w:val="auto"/>
          <w:sz w:val="28"/>
          <w:szCs w:val="28"/>
          <w:lang w:bidi="ar"/>
        </w:rPr>
        <w:t>万元，比上年</w:t>
      </w:r>
      <w:r>
        <w:rPr>
          <w:rFonts w:ascii="仿宋_GB2312" w:eastAsia="仿宋_GB2312" w:hAnsi="仿宋" w:cs="宋体" w:hint="eastAsia"/>
          <w:bCs/>
          <w:color w:val="auto"/>
          <w:sz w:val="28"/>
          <w:szCs w:val="28"/>
          <w:lang w:val="en-US" w:eastAsia="zh-CN" w:bidi="ar"/>
        </w:rPr>
        <w:t>增加11.00</w:t>
      </w:r>
      <w:r>
        <w:rPr>
          <w:rFonts w:ascii="仿宋_GB2312" w:eastAsia="仿宋_GB2312" w:hAnsi="仿宋" w:cs="宋体" w:hint="eastAsia"/>
          <w:bCs/>
          <w:color w:val="auto"/>
          <w:sz w:val="28"/>
          <w:szCs w:val="28"/>
          <w:lang w:bidi="ar"/>
        </w:rPr>
        <w:t>万元；车辆</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辆</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万元，与上年相比无变化；在建工程</w:t>
      </w:r>
      <w:r>
        <w:rPr>
          <w:rFonts w:ascii="仿宋_GB2312" w:eastAsia="仿宋_GB2312" w:hAnsi="仿宋" w:cs="宋体" w:hint="eastAsia"/>
          <w:bCs/>
          <w:color w:val="auto"/>
          <w:sz w:val="28"/>
          <w:szCs w:val="28"/>
          <w:lang w:val="en-US" w:eastAsia="zh-CN" w:bidi="ar"/>
        </w:rPr>
        <w:t>0.00</w:t>
      </w:r>
      <w:r>
        <w:rPr>
          <w:rFonts w:ascii="仿宋_GB2312" w:eastAsia="仿宋_GB2312" w:hAnsi="仿宋" w:cs="宋体" w:hint="eastAsia"/>
          <w:bCs/>
          <w:color w:val="auto"/>
          <w:sz w:val="28"/>
          <w:szCs w:val="28"/>
          <w:lang w:bidi="ar"/>
        </w:rPr>
        <w:t>万元，与上年持平；办公设备及家具</w:t>
      </w:r>
      <w:r>
        <w:rPr>
          <w:rFonts w:ascii="仿宋_GB2312" w:eastAsia="仿宋_GB2312" w:hAnsi="仿宋" w:cs="宋体" w:hint="eastAsia"/>
          <w:bCs/>
          <w:color w:val="auto"/>
          <w:sz w:val="28"/>
          <w:szCs w:val="28"/>
          <w:lang w:val="en-US" w:eastAsia="zh-CN" w:bidi="ar"/>
        </w:rPr>
        <w:t>697.37</w:t>
      </w:r>
      <w:r>
        <w:rPr>
          <w:rFonts w:ascii="仿宋_GB2312" w:eastAsia="仿宋_GB2312" w:hAnsi="仿宋" w:cs="宋体" w:hint="eastAsia"/>
          <w:bCs/>
          <w:color w:val="auto"/>
          <w:sz w:val="28"/>
          <w:szCs w:val="28"/>
          <w:lang w:bidi="ar"/>
        </w:rPr>
        <w:t>万元，比上年</w:t>
      </w:r>
      <w:r>
        <w:rPr>
          <w:rFonts w:ascii="仿宋_GB2312" w:eastAsia="仿宋_GB2312" w:hAnsi="仿宋" w:cs="宋体" w:hint="eastAsia"/>
          <w:bCs/>
          <w:color w:val="auto"/>
          <w:sz w:val="28"/>
          <w:szCs w:val="28"/>
          <w:lang w:val="en-US" w:eastAsia="zh-CN" w:bidi="ar"/>
        </w:rPr>
        <w:t>增加265.29</w:t>
      </w:r>
      <w:r>
        <w:rPr>
          <w:rFonts w:ascii="仿宋_GB2312" w:eastAsia="仿宋_GB2312" w:hAnsi="仿宋" w:cs="宋体" w:hint="eastAsia"/>
          <w:bCs/>
          <w:color w:val="auto"/>
          <w:sz w:val="28"/>
          <w:szCs w:val="28"/>
          <w:lang w:bidi="ar"/>
        </w:rPr>
        <w:t>万元。我单位本年无资产处置情况，资产配置合理，使用规范，安全完整。</w:t>
      </w:r>
    </w:p>
    <w:p>
      <w:pPr>
        <w:pStyle w:val="ListParagraph"/>
        <w:snapToGrid w:val="0"/>
        <w:spacing w:line="540" w:lineRule="exact"/>
        <w:ind w:firstLine="643"/>
        <w:rPr>
          <w:rFonts w:ascii="仿宋_GB2312" w:eastAsia="仿宋_GB2312" w:hAnsi="仿宋" w:cs="宋体"/>
          <w:b/>
          <w:bCs/>
          <w:color w:val="auto"/>
          <w:sz w:val="28"/>
          <w:szCs w:val="28"/>
          <w:lang w:bidi="ar"/>
        </w:rPr>
      </w:pPr>
      <w:r>
        <w:rPr>
          <w:rFonts w:ascii="仿宋_GB2312" w:eastAsia="仿宋_GB2312" w:hAnsi="仿宋" w:cs="宋体" w:hint="eastAsia"/>
          <w:b/>
          <w:bCs/>
          <w:color w:val="auto"/>
          <w:sz w:val="28"/>
          <w:szCs w:val="28"/>
          <w:lang w:bidi="ar"/>
        </w:rPr>
        <w:t>1.资产管理情况。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定资产的数量、价值和使用状况，确保账账相符、账实相符。四是在摸清固定资产存量基础上，严格审核各股室资产配置需求，资产配置能通过调剂、收回出租出借等方式解决的，原则上不重新购置、建设、租用。</w:t>
      </w:r>
    </w:p>
    <w:p>
      <w:pPr>
        <w:pStyle w:val="ListParagraph"/>
        <w:snapToGrid w:val="0"/>
        <w:spacing w:line="540" w:lineRule="exact"/>
        <w:ind w:firstLine="643"/>
        <w:rPr>
          <w:rFonts w:ascii="仿宋_GB2312" w:eastAsia="仿宋_GB2312" w:hAnsi="仿宋" w:cs="宋体"/>
          <w:b/>
          <w:bCs/>
          <w:color w:val="auto"/>
          <w:sz w:val="28"/>
          <w:szCs w:val="28"/>
          <w:lang w:bidi="ar"/>
        </w:rPr>
      </w:pPr>
      <w:r>
        <w:rPr>
          <w:rFonts w:ascii="仿宋_GB2312" w:eastAsia="仿宋_GB2312" w:hAnsi="仿宋" w:cs="宋体" w:hint="eastAsia"/>
          <w:b/>
          <w:bCs/>
          <w:color w:val="auto"/>
          <w:sz w:val="28"/>
          <w:szCs w:val="28"/>
          <w:lang w:bidi="ar"/>
        </w:rPr>
        <w:t>2.固定资产利用情况。</w:t>
      </w:r>
    </w:p>
    <w:p>
      <w:pPr>
        <w:pStyle w:val="ListParagraph"/>
        <w:snapToGrid w:val="0"/>
        <w:spacing w:line="540" w:lineRule="exact"/>
        <w:ind w:firstLine="640"/>
        <w:rPr>
          <w:rFonts w:ascii="仿宋_GB2312" w:eastAsia="仿宋_GB2312" w:hAnsi="仿宋" w:cs="宋体"/>
          <w:bCs/>
          <w:color w:val="auto"/>
          <w:sz w:val="28"/>
          <w:szCs w:val="28"/>
          <w:lang w:bidi="ar"/>
        </w:rPr>
      </w:pPr>
      <w:r>
        <w:rPr>
          <w:rFonts w:ascii="仿宋_GB2312" w:eastAsia="仿宋_GB2312" w:hAnsi="仿宋" w:cs="宋体" w:hint="eastAsia"/>
          <w:bCs/>
          <w:color w:val="auto"/>
          <w:sz w:val="28"/>
          <w:szCs w:val="28"/>
          <w:lang w:bidi="ar"/>
        </w:rPr>
        <w:t>我单位固定资产</w:t>
      </w:r>
      <w:r>
        <w:rPr>
          <w:rFonts w:ascii="仿宋_GB2312" w:eastAsia="仿宋_GB2312" w:hAnsi="仿宋" w:cs="宋体" w:hint="eastAsia"/>
          <w:bCs/>
          <w:color w:val="auto"/>
          <w:sz w:val="28"/>
          <w:szCs w:val="28"/>
          <w:lang w:val="en-US" w:eastAsia="zh-CN" w:bidi="ar"/>
        </w:rPr>
        <w:t>2484.31</w:t>
      </w:r>
      <w:r>
        <w:rPr>
          <w:rFonts w:ascii="仿宋_GB2312" w:eastAsia="仿宋_GB2312" w:hAnsi="仿宋" w:cs="宋体" w:hint="eastAsia"/>
          <w:bCs/>
          <w:color w:val="auto"/>
          <w:sz w:val="28"/>
          <w:szCs w:val="28"/>
          <w:lang w:bidi="ar"/>
        </w:rPr>
        <w:t>万元,其中:</w:t>
      </w:r>
      <w:r>
        <w:rPr>
          <w:rFonts w:ascii="仿宋_GB2312" w:eastAsia="仿宋_GB2312" w:hAnsi="仿宋" w:cs="宋体" w:hint="eastAsia"/>
          <w:bCs/>
          <w:color w:val="auto"/>
          <w:sz w:val="28"/>
          <w:szCs w:val="28"/>
          <w:lang w:val="en-US" w:eastAsia="zh-CN" w:bidi="ar"/>
        </w:rPr>
        <w:t>2</w:t>
      </w:r>
      <w:r>
        <w:rPr>
          <w:rFonts w:ascii="仿宋_GB2312" w:eastAsia="仿宋_GB2312" w:hAnsi="仿宋" w:cs="宋体" w:hint="eastAsia"/>
          <w:bCs/>
          <w:color w:val="auto"/>
          <w:sz w:val="28"/>
          <w:szCs w:val="28"/>
          <w:lang w:bidi="ar"/>
        </w:rPr>
        <w:t>套房屋</w:t>
      </w:r>
      <w:r>
        <w:rPr>
          <w:rFonts w:ascii="仿宋_GB2312" w:eastAsia="仿宋_GB2312" w:hAnsi="仿宋" w:cs="宋体" w:hint="eastAsia"/>
          <w:bCs/>
          <w:color w:val="auto"/>
          <w:sz w:val="28"/>
          <w:szCs w:val="28"/>
          <w:lang w:val="en-US" w:eastAsia="zh-CN" w:bidi="ar"/>
        </w:rPr>
        <w:t>1786.94</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辆车</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个专用设备</w:t>
      </w:r>
      <w:r>
        <w:rPr>
          <w:rFonts w:ascii="仿宋_GB2312" w:eastAsia="仿宋_GB2312" w:hAnsi="仿宋" w:cs="宋体" w:hint="eastAsia"/>
          <w:bCs/>
          <w:color w:val="auto"/>
          <w:sz w:val="28"/>
          <w:szCs w:val="28"/>
          <w:lang w:val="en-US" w:eastAsia="zh-CN" w:bidi="ar"/>
        </w:rPr>
        <w:t>0</w:t>
      </w:r>
      <w:r>
        <w:rPr>
          <w:rFonts w:ascii="仿宋_GB2312" w:eastAsia="仿宋_GB2312" w:hAnsi="仿宋" w:cs="宋体" w:hint="eastAsia"/>
          <w:bCs/>
          <w:color w:val="auto"/>
          <w:sz w:val="28"/>
          <w:szCs w:val="28"/>
          <w:lang w:bidi="ar"/>
        </w:rPr>
        <w:t>万元，</w:t>
      </w:r>
      <w:r>
        <w:rPr>
          <w:rFonts w:ascii="仿宋_GB2312" w:eastAsia="仿宋_GB2312" w:hAnsi="仿宋" w:cs="宋体" w:hint="eastAsia"/>
          <w:bCs/>
          <w:color w:val="auto"/>
          <w:sz w:val="28"/>
          <w:szCs w:val="28"/>
          <w:lang w:val="en-US" w:eastAsia="zh-CN" w:bidi="ar"/>
        </w:rPr>
        <w:t>2653</w:t>
      </w:r>
      <w:r>
        <w:rPr>
          <w:rFonts w:ascii="仿宋_GB2312" w:eastAsia="仿宋_GB2312" w:hAnsi="仿宋" w:cs="宋体" w:hint="eastAsia"/>
          <w:bCs/>
          <w:color w:val="auto"/>
          <w:sz w:val="28"/>
          <w:szCs w:val="28"/>
          <w:lang w:bidi="ar"/>
        </w:rPr>
        <w:t>个办公设备</w:t>
      </w:r>
      <w:r>
        <w:rPr>
          <w:rFonts w:ascii="仿宋_GB2312" w:eastAsia="仿宋_GB2312" w:hAnsi="仿宋" w:cs="宋体" w:hint="eastAsia"/>
          <w:bCs/>
          <w:color w:val="auto"/>
          <w:sz w:val="28"/>
          <w:szCs w:val="28"/>
          <w:lang w:val="en-US" w:eastAsia="zh-CN" w:bidi="ar"/>
        </w:rPr>
        <w:t>697.37</w:t>
      </w:r>
      <w:r>
        <w:rPr>
          <w:rFonts w:ascii="仿宋_GB2312" w:eastAsia="仿宋_GB2312" w:hAnsi="仿宋" w:cs="宋体" w:hint="eastAsia"/>
          <w:bCs/>
          <w:color w:val="auto"/>
          <w:sz w:val="28"/>
          <w:szCs w:val="28"/>
          <w:lang w:bidi="ar"/>
        </w:rPr>
        <w:t>万元。目前正在使用的固定资产总额</w:t>
      </w:r>
      <w:r>
        <w:rPr>
          <w:rFonts w:ascii="仿宋_GB2312" w:eastAsia="仿宋_GB2312" w:hAnsi="仿宋" w:cs="宋体" w:hint="eastAsia"/>
          <w:bCs/>
          <w:color w:val="auto"/>
          <w:sz w:val="28"/>
          <w:szCs w:val="28"/>
          <w:lang w:val="en-US" w:eastAsia="zh-CN" w:bidi="ar"/>
        </w:rPr>
        <w:t>2484.31</w:t>
      </w:r>
      <w:r>
        <w:rPr>
          <w:rFonts w:ascii="仿宋_GB2312" w:eastAsia="仿宋_GB2312" w:hAnsi="仿宋" w:cs="宋体" w:hint="eastAsia"/>
          <w:bCs/>
          <w:color w:val="auto"/>
          <w:sz w:val="28"/>
          <w:szCs w:val="28"/>
          <w:lang w:bidi="ar"/>
        </w:rPr>
        <w:t>万元，固定资产利用率为</w:t>
      </w:r>
      <w:r>
        <w:rPr>
          <w:rFonts w:ascii="仿宋_GB2312" w:eastAsia="仿宋_GB2312" w:hAnsi="仿宋" w:cs="宋体" w:hint="eastAsia"/>
          <w:bCs/>
          <w:color w:val="auto"/>
          <w:sz w:val="28"/>
          <w:szCs w:val="28"/>
          <w:lang w:val="en-US" w:eastAsia="zh-CN" w:bidi="ar"/>
        </w:rPr>
        <w:t>100.00</w:t>
      </w:r>
      <w:r>
        <w:rPr>
          <w:rFonts w:ascii="仿宋_GB2312" w:eastAsia="仿宋_GB2312" w:hAnsi="仿宋" w:cs="宋体"/>
          <w:bCs/>
          <w:color w:val="auto"/>
          <w:sz w:val="28"/>
          <w:szCs w:val="28"/>
          <w:lang w:bidi="ar"/>
        </w:rPr>
        <w:t>%</w:t>
      </w:r>
      <w:r>
        <w:rPr>
          <w:rFonts w:ascii="仿宋_GB2312" w:eastAsia="仿宋_GB2312" w:hAnsi="仿宋" w:cs="宋体" w:hint="eastAsia"/>
          <w:bCs/>
          <w:color w:val="auto"/>
          <w:sz w:val="28"/>
          <w:szCs w:val="28"/>
          <w:lang w:bidi="ar"/>
        </w:rPr>
        <w:t>。</w:t>
      </w:r>
    </w:p>
    <w:p>
      <w:pPr>
        <w:pStyle w:val="ListParagraph"/>
        <w:snapToGrid w:val="0"/>
        <w:spacing w:line="540" w:lineRule="exact"/>
        <w:ind w:firstLine="627"/>
        <w:rPr>
          <w:rStyle w:val="Strong"/>
          <w:rFonts w:ascii="仿宋_GB2312" w:eastAsia="仿宋_GB2312" w:hAnsi="仿宋"/>
          <w:bCs w:val="0"/>
          <w:color w:val="auto"/>
          <w:spacing w:val="-4"/>
          <w:sz w:val="28"/>
          <w:szCs w:val="28"/>
        </w:rPr>
      </w:pPr>
      <w:r>
        <w:rPr>
          <w:rStyle w:val="Strong"/>
          <w:rFonts w:ascii="仿宋_GB2312" w:eastAsia="仿宋_GB2312" w:hAnsi="仿宋" w:hint="eastAsia"/>
          <w:bCs w:val="0"/>
          <w:color w:val="auto"/>
          <w:spacing w:val="-4"/>
          <w:sz w:val="28"/>
          <w:szCs w:val="28"/>
        </w:rPr>
        <w:t>3.流动资产管理情况。</w:t>
      </w:r>
    </w:p>
    <w:p>
      <w:pPr>
        <w:pStyle w:val="ListParagraph"/>
        <w:snapToGrid w:val="0"/>
        <w:spacing w:line="540" w:lineRule="exact"/>
        <w:ind w:firstLine="624"/>
        <w:rPr>
          <w:rStyle w:val="Strong"/>
          <w:rFonts w:ascii="仿宋_GB2312" w:eastAsia="仿宋_GB2312" w:hAnsi="仿宋_GB2312" w:cs="仿宋_GB2312"/>
          <w:color w:val="auto"/>
          <w:spacing w:val="-4"/>
          <w:sz w:val="28"/>
          <w:szCs w:val="28"/>
        </w:rPr>
      </w:pPr>
      <w:r>
        <w:rPr>
          <w:rStyle w:val="Strong"/>
          <w:rFonts w:ascii="仿宋_GB2312" w:eastAsia="仿宋_GB2312" w:hAnsi="仿宋" w:hint="eastAsia"/>
          <w:b w:val="0"/>
          <w:bCs w:val="0"/>
          <w:color w:val="auto"/>
          <w:spacing w:val="-4"/>
          <w:sz w:val="28"/>
          <w:szCs w:val="28"/>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w:t>
      </w:r>
    </w:p>
    <w:p>
      <w:pPr>
        <w:pStyle w:val="ListParagraph"/>
        <w:tabs>
          <w:tab w:val="left" w:pos="0"/>
        </w:tabs>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（二）固定资产利用率</w:t>
      </w:r>
    </w:p>
    <w:p>
      <w:pPr>
        <w:pStyle w:val="ListParagraph"/>
        <w:tabs>
          <w:tab w:val="left" w:pos="0"/>
        </w:tabs>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截止本年度固定资产账面净值</w:t>
      </w:r>
      <w:r>
        <w:rPr>
          <w:rStyle w:val="Strong"/>
          <w:rFonts w:ascii="仿宋_GB2312" w:eastAsia="仿宋_GB2312" w:hAnsi="仿宋_GB2312" w:cs="仿宋_GB2312" w:hint="eastAsia"/>
          <w:b w:val="0"/>
          <w:bCs w:val="0"/>
          <w:color w:val="auto"/>
          <w:spacing w:val="-4"/>
          <w:sz w:val="28"/>
          <w:szCs w:val="28"/>
          <w:lang w:val="en-US" w:eastAsia="zh-CN"/>
        </w:rPr>
        <w:t>1377.96</w:t>
      </w:r>
      <w:r>
        <w:rPr>
          <w:rStyle w:val="Strong"/>
          <w:rFonts w:ascii="仿宋_GB2312" w:eastAsia="仿宋_GB2312" w:hAnsi="仿宋_GB2312" w:cs="仿宋_GB2312" w:hint="eastAsia"/>
          <w:b w:val="0"/>
          <w:bCs w:val="0"/>
          <w:color w:val="auto"/>
          <w:spacing w:val="-4"/>
          <w:sz w:val="28"/>
          <w:szCs w:val="28"/>
        </w:rPr>
        <w:t>万元，年末实际在用固定资产</w:t>
      </w:r>
      <w:r>
        <w:rPr>
          <w:rStyle w:val="Strong"/>
          <w:rFonts w:ascii="仿宋_GB2312" w:eastAsia="仿宋_GB2312" w:hAnsi="仿宋_GB2312" w:cs="仿宋_GB2312" w:hint="eastAsia"/>
          <w:b w:val="0"/>
          <w:bCs w:val="0"/>
          <w:color w:val="auto"/>
          <w:spacing w:val="-4"/>
          <w:sz w:val="28"/>
          <w:szCs w:val="28"/>
          <w:lang w:val="en-US" w:eastAsia="zh-CN"/>
        </w:rPr>
        <w:t>1377.96</w:t>
      </w:r>
      <w:r>
        <w:rPr>
          <w:rStyle w:val="Strong"/>
          <w:rFonts w:ascii="仿宋_GB2312" w:eastAsia="仿宋_GB2312" w:hAnsi="仿宋_GB2312" w:cs="仿宋_GB2312" w:hint="eastAsia"/>
          <w:b w:val="0"/>
          <w:bCs w:val="0"/>
          <w:color w:val="auto"/>
          <w:spacing w:val="-4"/>
          <w:sz w:val="28"/>
          <w:szCs w:val="28"/>
        </w:rPr>
        <w:t>万元，固定资产利用率为</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6" w:name="_Toc13582_WPSOffice_Level1"/>
      <w:r>
        <w:rPr>
          <w:rStyle w:val="Strong"/>
          <w:rFonts w:ascii="黑体" w:eastAsia="黑体" w:hAnsi="黑体" w:cs="仿宋_GB2312" w:hint="eastAsia"/>
          <w:b w:val="0"/>
          <w:color w:val="auto"/>
          <w:spacing w:val="-4"/>
          <w:sz w:val="28"/>
          <w:szCs w:val="28"/>
        </w:rPr>
        <w:t>部门单位整体支出绩效情况</w:t>
      </w:r>
      <w:bookmarkEnd w:id="6"/>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部门单位整体支出自评表，共设置一级指标3个，二级指标</w:t>
      </w:r>
      <w:r>
        <w:rPr>
          <w:rStyle w:val="Strong"/>
          <w:rFonts w:ascii="仿宋_GB2312" w:eastAsia="仿宋_GB2312" w:hAnsi="仿宋_GB2312" w:cs="仿宋_GB2312" w:hint="eastAsia"/>
          <w:b w:val="0"/>
          <w:bCs w:val="0"/>
          <w:color w:val="auto"/>
          <w:spacing w:val="-4"/>
          <w:sz w:val="28"/>
          <w:szCs w:val="28"/>
          <w:lang w:val="en-US" w:eastAsia="zh-CN"/>
        </w:rPr>
        <w:t>7</w:t>
      </w:r>
      <w:r>
        <w:rPr>
          <w:rStyle w:val="Strong"/>
          <w:rFonts w:ascii="仿宋_GB2312" w:eastAsia="仿宋_GB2312" w:hAnsi="仿宋_GB2312" w:cs="仿宋_GB2312" w:hint="eastAsia"/>
          <w:b w:val="0"/>
          <w:bCs w:val="0"/>
          <w:color w:val="auto"/>
          <w:spacing w:val="-4"/>
          <w:sz w:val="28"/>
          <w:szCs w:val="28"/>
        </w:rPr>
        <w:t>个，三级指标</w:t>
      </w:r>
      <w:r>
        <w:rPr>
          <w:rStyle w:val="Strong"/>
          <w:rFonts w:ascii="仿宋_GB2312" w:eastAsia="仿宋_GB2312" w:hAnsi="仿宋_GB2312" w:cs="仿宋_GB2312" w:hint="eastAsia"/>
          <w:b w:val="0"/>
          <w:bCs w:val="0"/>
          <w:color w:val="auto"/>
          <w:spacing w:val="-4"/>
          <w:sz w:val="28"/>
          <w:szCs w:val="28"/>
          <w:lang w:val="en-US" w:eastAsia="zh-CN"/>
        </w:rPr>
        <w:t>13</w:t>
      </w:r>
      <w:r>
        <w:rPr>
          <w:rStyle w:val="Strong"/>
          <w:rFonts w:ascii="仿宋_GB2312" w:eastAsia="仿宋_GB2312" w:hAnsi="仿宋_GB2312" w:cs="仿宋_GB2312" w:hint="eastAsia"/>
          <w:b w:val="0"/>
          <w:bCs w:val="0"/>
          <w:color w:val="auto"/>
          <w:spacing w:val="-4"/>
          <w:sz w:val="28"/>
          <w:szCs w:val="28"/>
        </w:rPr>
        <w:t>个。</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（一）产出指标完成情况分析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1.产出数量</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教职工数</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=121人</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121人</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lang w:val="en-US" w:eastAsia="zh-CN"/>
        </w:rPr>
        <w:t>指标2：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学生数</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=886人</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886人</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2.产出质量</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学生综合素质评定优秀率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&gt;=90%</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90%</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lang w:val="en-US" w:eastAsia="zh-CN"/>
        </w:rPr>
        <w:t>指标2：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工程使用合规率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&gt;=95%</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val="en-US" w:eastAsia="zh-CN"/>
        </w:rPr>
        <w:t>指标3：</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教职工培训率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&gt;=90%</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hint="eastAsia"/>
          <w:b w:val="0"/>
          <w:bCs w:val="0"/>
          <w:color w:val="auto"/>
          <w:spacing w:val="-4"/>
          <w:sz w:val="28"/>
          <w:szCs w:val="28"/>
          <w:lang w:val="en-US" w:eastAsia="zh-CN"/>
        </w:rPr>
        <w:t>90%</w:t>
      </w:r>
      <w:r>
        <w:rPr>
          <w:rStyle w:val="Strong"/>
          <w:rFonts w:ascii="仿宋_GB2312" w:eastAsia="仿宋_GB2312" w:hAnsi="仿宋_GB2312" w:cs="仿宋_GB2312" w:hint="eastAsia"/>
          <w:b w:val="0"/>
          <w:bCs w:val="0"/>
          <w:color w:val="auto"/>
          <w:spacing w:val="-4"/>
          <w:sz w:val="28"/>
          <w:szCs w:val="28"/>
        </w:rPr>
        <w:t>”，指标完成率是</w:t>
      </w:r>
      <w:r>
        <w:rPr>
          <w:rFonts w:ascii="仿宋_GB2312" w:eastAsia="仿宋_GB2312" w:hAnsi="仿宋" w:cs="宋体" w:hint="eastAsia"/>
          <w:bCs/>
          <w:color w:val="auto"/>
          <w:sz w:val="28"/>
          <w:szCs w:val="28"/>
          <w:lang w:val="en-US" w:eastAsia="zh-CN" w:bidi="ar"/>
        </w:rPr>
        <w:t>100.00</w:t>
      </w:r>
      <w:r>
        <w:rPr>
          <w:rStyle w:val="Strong"/>
          <w:rFonts w:ascii="仿宋_GB2312" w:eastAsia="仿宋_GB2312" w:hAnsi="仿宋_GB2312" w:cs="仿宋_GB2312" w:hint="eastAsia"/>
          <w:b w:val="0"/>
          <w:bCs w:val="0"/>
          <w:color w:val="auto"/>
          <w:spacing w:val="-4"/>
          <w:sz w:val="28"/>
          <w:szCs w:val="28"/>
        </w:rPr>
        <w:t>%，达到预期目标</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3.产出进度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资金支付及时率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val="en-US" w:eastAsia="zh-CN"/>
        </w:rPr>
        <w:t>100</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%，达到预期目标。</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4.产出成本</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人员保障支出成本</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&lt;=1527.03万元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1527.03</w:t>
      </w:r>
      <w:r>
        <w:rPr>
          <w:rStyle w:val="Strong"/>
          <w:rFonts w:ascii="仿宋_GB2312" w:eastAsia="仿宋_GB2312" w:hAnsi="仿宋_GB2312" w:cs="仿宋_GB2312" w:hint="eastAsia"/>
          <w:b w:val="0"/>
          <w:bCs w:val="0"/>
          <w:color w:val="auto"/>
          <w:spacing w:val="-4"/>
          <w:sz w:val="28"/>
          <w:szCs w:val="28"/>
        </w:rPr>
        <w:t>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%，达到成本控制及改善目标。</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val="en-US" w:eastAsia="zh-CN"/>
        </w:rPr>
        <w:t>指标2：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运转保障支出成本</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&lt;=37.39万元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2.25</w:t>
      </w:r>
      <w:r>
        <w:rPr>
          <w:rStyle w:val="Strong"/>
          <w:rFonts w:ascii="仿宋_GB2312" w:eastAsia="仿宋_GB2312" w:hAnsi="仿宋_GB2312" w:cs="仿宋_GB2312" w:hint="eastAsia"/>
          <w:b w:val="0"/>
          <w:bCs w:val="0"/>
          <w:color w:val="auto"/>
          <w:spacing w:val="-4"/>
          <w:sz w:val="28"/>
          <w:szCs w:val="28"/>
        </w:rPr>
        <w:t>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6.02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b w:val="0"/>
          <w:bCs w:val="0"/>
          <w:color w:val="auto"/>
          <w:spacing w:val="-4"/>
          <w:sz w:val="28"/>
          <w:szCs w:val="28"/>
        </w:rPr>
        <w:t>未达</w:t>
      </w:r>
      <w:r>
        <w:rPr>
          <w:rStyle w:val="Strong"/>
          <w:rFonts w:ascii="仿宋_GB2312" w:eastAsia="仿宋_GB2312" w:hAnsi="仿宋_GB2312" w:cs="仿宋_GB2312" w:hint="eastAsia"/>
          <w:b w:val="0"/>
          <w:bCs w:val="0"/>
          <w:color w:val="auto"/>
          <w:spacing w:val="-4"/>
          <w:sz w:val="28"/>
          <w:szCs w:val="28"/>
        </w:rPr>
        <w:t>成</w:t>
      </w:r>
      <w:r>
        <w:rPr>
          <w:rStyle w:val="Strong"/>
          <w:rFonts w:ascii="仿宋_GB2312" w:eastAsia="仿宋_GB2312" w:hAnsi="仿宋_GB2312" w:cs="仿宋_GB2312"/>
          <w:b w:val="0"/>
          <w:bCs w:val="0"/>
          <w:color w:val="auto"/>
          <w:spacing w:val="-4"/>
          <w:sz w:val="28"/>
          <w:szCs w:val="28"/>
        </w:rPr>
        <w:t>预期目标，未完成的原因是：</w:t>
      </w:r>
      <w:r>
        <w:rPr>
          <w:rStyle w:val="Strong"/>
          <w:rFonts w:ascii="仿宋_GB2312" w:eastAsia="仿宋_GB2312" w:hAnsi="仿宋_GB2312" w:cs="仿宋_GB2312" w:hint="eastAsia"/>
          <w:b w:val="0"/>
          <w:bCs w:val="0"/>
          <w:color w:val="auto"/>
          <w:spacing w:val="-4"/>
          <w:sz w:val="28"/>
          <w:szCs w:val="28"/>
          <w:lang w:val="en-US" w:eastAsia="zh-CN"/>
        </w:rPr>
        <w:t>因2022年不可抗力的因素，票据未及时支付。</w:t>
      </w:r>
    </w:p>
    <w:p>
      <w:pPr>
        <w:pStyle w:val="ListParagraph"/>
        <w:snapToGrid w:val="0"/>
        <w:spacing w:line="540" w:lineRule="exact"/>
        <w:ind w:firstLine="624"/>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指标3：</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项目支出</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预期指标预期指标是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&lt;=4.62万元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lang w:val="en-US" w:eastAsia="zh-CN"/>
        </w:rPr>
        <w:t>4.62</w:t>
      </w:r>
      <w:r>
        <w:rPr>
          <w:rStyle w:val="Strong"/>
          <w:rFonts w:ascii="仿宋_GB2312" w:eastAsia="仿宋_GB2312" w:hAnsi="仿宋_GB2312" w:cs="仿宋_GB2312" w:hint="eastAsia"/>
          <w:b w:val="0"/>
          <w:bCs w:val="0"/>
          <w:color w:val="auto"/>
          <w:spacing w:val="-4"/>
          <w:sz w:val="28"/>
          <w:szCs w:val="28"/>
        </w:rPr>
        <w:t>万元</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%，达到成本控制及改善目标。</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成本指标共计</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3</w:t>
      </w:r>
      <w:r>
        <w:rPr>
          <w:rStyle w:val="Strong"/>
          <w:rFonts w:ascii="仿宋_GB2312" w:eastAsia="仿宋_GB2312" w:hAnsi="仿宋_GB2312" w:cs="仿宋_GB2312" w:hint="eastAsia"/>
          <w:b w:val="0"/>
          <w:bCs w:val="0"/>
          <w:color w:val="auto"/>
          <w:spacing w:val="-4"/>
          <w:sz w:val="28"/>
          <w:szCs w:val="28"/>
        </w:rPr>
        <w:t>个，达到成本控制及改善目标，成本指标完成。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（二）效益指标完成情况分析</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1.项目实施的经济效益分析</w:t>
      </w:r>
    </w:p>
    <w:p>
      <w:pPr>
        <w:pStyle w:val="ListParagraph"/>
        <w:snapToGrid w:val="0"/>
        <w:spacing w:line="540" w:lineRule="exact"/>
        <w:ind w:firstLine="1120" w:firstLineChars="400"/>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b w:val="0"/>
          <w:bCs w:val="0"/>
          <w:color w:val="auto"/>
          <w:spacing w:val="-4"/>
          <w:sz w:val="28"/>
          <w:szCs w:val="28"/>
        </w:rPr>
        <w:t>无</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2.项目实施的社会效益分析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教师教学水平提升率</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w:t>
      </w:r>
      <w:r>
        <w:rPr>
          <w:rStyle w:val="Strong"/>
          <w:rFonts w:ascii="仿宋_GB2312" w:eastAsia="仿宋_GB2312" w:hAnsi="仿宋_GB2312" w:cs="仿宋_GB2312"/>
          <w:b w:val="0"/>
          <w:bCs w:val="0"/>
          <w:color w:val="auto"/>
          <w:spacing w:val="-4"/>
          <w:sz w:val="28"/>
          <w:szCs w:val="28"/>
        </w:rPr>
        <w:t>期</w:t>
      </w:r>
      <w:r>
        <w:rPr>
          <w:rStyle w:val="Strong"/>
          <w:rFonts w:ascii="仿宋_GB2312" w:eastAsia="仿宋_GB2312" w:hAnsi="仿宋_GB2312" w:cs="仿宋_GB2312" w:hint="eastAsia"/>
          <w:b w:val="0"/>
          <w:bCs w:val="0"/>
          <w:color w:val="auto"/>
          <w:spacing w:val="-4"/>
          <w:sz w:val="28"/>
          <w:szCs w:val="28"/>
        </w:rPr>
        <w:t>指标值：</w:t>
      </w:r>
      <w:r>
        <w:rPr>
          <w:rStyle w:val="Strong"/>
          <w:rFonts w:ascii="仿宋_GB2312" w:eastAsia="仿宋_GB2312" w:hAnsi="仿宋_GB2312" w:cs="仿宋_GB2312" w:hint="eastAsia"/>
          <w:b w:val="0"/>
          <w:bCs w:val="0"/>
          <w:color w:val="auto"/>
          <w:spacing w:val="-4"/>
          <w:sz w:val="28"/>
          <w:szCs w:val="28"/>
          <w:lang w:val="en-US" w:eastAsia="zh-CN"/>
        </w:rPr>
        <w:t>显著提升</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达成年度指标</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；指标完成率为</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w:t>
      </w:r>
    </w:p>
    <w:p>
      <w:pPr>
        <w:pStyle w:val="ListParagraph"/>
        <w:snapToGrid w:val="0"/>
        <w:spacing w:line="540" w:lineRule="exact"/>
        <w:ind w:firstLine="624"/>
        <w:rPr>
          <w:rStyle w:val="Strong"/>
          <w:rFonts w:ascii="仿宋_GB2312" w:eastAsia="仿宋_GB2312" w:hAnsi="仿宋_GB2312" w:cs="仿宋_GB2312" w:hint="eastAsia"/>
          <w:color w:val="auto"/>
          <w:spacing w:val="-4"/>
          <w:sz w:val="28"/>
          <w:szCs w:val="28"/>
          <w:lang w:eastAsia="zh-CN"/>
        </w:rPr>
      </w:pPr>
      <w:r>
        <w:rPr>
          <w:rStyle w:val="Strong"/>
          <w:rFonts w:ascii="仿宋_GB2312" w:eastAsia="仿宋_GB2312" w:hAnsi="仿宋_GB2312" w:cs="仿宋_GB2312" w:hint="eastAsia"/>
          <w:b w:val="0"/>
          <w:bCs w:val="0"/>
          <w:color w:val="auto"/>
          <w:spacing w:val="-4"/>
          <w:sz w:val="28"/>
          <w:szCs w:val="28"/>
        </w:rPr>
        <w:t>社会效益指标共计</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个，达到单位履职能力对社会带来的影响预期目标，社会效益指标完成</w:t>
      </w:r>
      <w:r>
        <w:rPr>
          <w:rStyle w:val="Strong"/>
          <w:rFonts w:ascii="仿宋_GB2312" w:eastAsia="仿宋_GB2312" w:hAnsi="仿宋_GB2312" w:cs="仿宋_GB2312" w:hint="eastAsia"/>
          <w:b w:val="0"/>
          <w:bCs w:val="0"/>
          <w:color w:val="auto"/>
          <w:spacing w:val="-4"/>
          <w:sz w:val="28"/>
          <w:szCs w:val="28"/>
          <w:lang w:eastAsia="zh-CN"/>
        </w:rPr>
        <w:t>。</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3.项目实施的生态效益分析</w:t>
      </w:r>
    </w:p>
    <w:p>
      <w:pPr>
        <w:pStyle w:val="ListParagraph"/>
        <w:snapToGrid w:val="0"/>
        <w:spacing w:line="540" w:lineRule="exact"/>
        <w:ind w:firstLine="840" w:firstLineChars="300"/>
        <w:outlineLvl w:val="2"/>
        <w:rPr>
          <w:rStyle w:val="Strong"/>
          <w:rFonts w:ascii="仿宋_GB2312" w:eastAsia="仿宋_GB2312" w:hAnsi="仿宋_GB2312" w:cs="仿宋_GB2312" w:hint="eastAsia"/>
          <w:color w:val="auto"/>
          <w:spacing w:val="-4"/>
          <w:sz w:val="28"/>
          <w:szCs w:val="28"/>
          <w:lang w:eastAsia="zh-CN"/>
        </w:rPr>
      </w:pPr>
      <w:r>
        <w:rPr>
          <w:rStyle w:val="Strong"/>
          <w:rFonts w:ascii="仿宋_GB2312" w:eastAsia="仿宋_GB2312" w:hAnsi="仿宋_GB2312" w:cs="仿宋_GB2312"/>
          <w:b w:val="0"/>
          <w:bCs w:val="0"/>
          <w:color w:val="auto"/>
          <w:spacing w:val="-4"/>
          <w:sz w:val="28"/>
          <w:szCs w:val="28"/>
        </w:rPr>
        <w:t>无</w:t>
      </w:r>
      <w:r>
        <w:rPr>
          <w:rStyle w:val="Strong"/>
          <w:rFonts w:ascii="仿宋_GB2312" w:eastAsia="仿宋_GB2312" w:hAnsi="仿宋_GB2312" w:cs="仿宋_GB2312" w:hint="eastAsia"/>
          <w:b w:val="0"/>
          <w:bCs w:val="0"/>
          <w:color w:val="auto"/>
          <w:spacing w:val="-4"/>
          <w:sz w:val="28"/>
          <w:szCs w:val="28"/>
          <w:lang w:val="en-US" w:eastAsia="zh-CN"/>
        </w:rPr>
        <w:t xml:space="preserve"> </w:t>
      </w:r>
    </w:p>
    <w:p>
      <w:pPr>
        <w:pStyle w:val="ListParagraph"/>
        <w:snapToGrid w:val="0"/>
        <w:spacing w:line="540" w:lineRule="exact"/>
        <w:ind w:firstLine="627"/>
        <w:outlineLvl w:val="2"/>
        <w:rPr>
          <w:rStyle w:val="Strong"/>
          <w:rFonts w:ascii="仿宋_GB2312" w:eastAsia="仿宋_GB2312" w:hAnsi="仿宋_GB2312" w:cs="仿宋_GB2312"/>
          <w:color w:val="auto"/>
          <w:spacing w:val="-4"/>
          <w:sz w:val="28"/>
          <w:szCs w:val="28"/>
        </w:rPr>
      </w:pPr>
      <w:r>
        <w:rPr>
          <w:rStyle w:val="Strong"/>
          <w:rFonts w:ascii="仿宋_GB2312" w:eastAsia="仿宋_GB2312" w:hAnsi="仿宋_GB2312" w:cs="仿宋_GB2312" w:hint="eastAsia"/>
          <w:color w:val="auto"/>
          <w:spacing w:val="-4"/>
          <w:sz w:val="28"/>
          <w:szCs w:val="28"/>
        </w:rPr>
        <w:t>4.项目实施的可持续影响分析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培养教育中小学生提升文化素养</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w:t>
      </w:r>
      <w:r>
        <w:rPr>
          <w:rStyle w:val="Strong"/>
          <w:rFonts w:ascii="仿宋_GB2312" w:eastAsia="仿宋_GB2312" w:hAnsi="仿宋_GB2312" w:cs="仿宋_GB2312"/>
          <w:b w:val="0"/>
          <w:bCs w:val="0"/>
          <w:color w:val="auto"/>
          <w:spacing w:val="-4"/>
          <w:sz w:val="28"/>
          <w:szCs w:val="28"/>
        </w:rPr>
        <w:t>期</w:t>
      </w:r>
      <w:r>
        <w:rPr>
          <w:rStyle w:val="Strong"/>
          <w:rFonts w:ascii="仿宋_GB2312" w:eastAsia="仿宋_GB2312" w:hAnsi="仿宋_GB2312" w:cs="仿宋_GB2312" w:hint="eastAsia"/>
          <w:b w:val="0"/>
          <w:bCs w:val="0"/>
          <w:color w:val="auto"/>
          <w:spacing w:val="-4"/>
          <w:sz w:val="28"/>
          <w:szCs w:val="28"/>
        </w:rPr>
        <w:t>指标值：</w:t>
      </w:r>
      <w:r>
        <w:rPr>
          <w:rStyle w:val="Strong"/>
          <w:rFonts w:ascii="仿宋_GB2312" w:eastAsia="仿宋_GB2312" w:hAnsi="仿宋_GB2312" w:cs="仿宋_GB2312" w:hint="eastAsia"/>
          <w:b w:val="0"/>
          <w:bCs w:val="0"/>
          <w:color w:val="auto"/>
          <w:spacing w:val="-4"/>
          <w:sz w:val="28"/>
          <w:szCs w:val="28"/>
          <w:lang w:val="en-US" w:eastAsia="zh-CN"/>
        </w:rPr>
        <w:t>有所提高</w:t>
      </w:r>
      <w:r>
        <w:rPr>
          <w:rStyle w:val="Strong"/>
          <w:rFonts w:ascii="仿宋_GB2312" w:eastAsia="仿宋_GB2312" w:hAnsi="仿宋_GB2312" w:cs="仿宋_GB2312" w:hint="eastAsia"/>
          <w:b w:val="0"/>
          <w:bCs w:val="0"/>
          <w:color w:val="auto"/>
          <w:spacing w:val="-4"/>
          <w:sz w:val="28"/>
          <w:szCs w:val="28"/>
        </w:rPr>
        <w:t>；实际完成值为</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达成年度指标</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；指标完成率为</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可持续影响指标共计</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1</w:t>
      </w:r>
      <w:r>
        <w:rPr>
          <w:rStyle w:val="Strong"/>
          <w:rFonts w:ascii="仿宋_GB2312" w:eastAsia="仿宋_GB2312" w:hAnsi="仿宋_GB2312" w:cs="仿宋_GB2312" w:hint="eastAsia"/>
          <w:b w:val="0"/>
          <w:bCs w:val="0"/>
          <w:color w:val="auto"/>
          <w:spacing w:val="-4"/>
          <w:sz w:val="28"/>
          <w:szCs w:val="28"/>
        </w:rPr>
        <w:t>个，达到预期目标，可持续影响指标完成。</w:t>
      </w:r>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（三）满意度指标完成情况分析</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按计划完成项目实施，已做满意度调查抽样问卷，具体如下：</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指标1：</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教师满意度</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w:t>
      </w:r>
      <w:r>
        <w:rPr>
          <w:rStyle w:val="Strong"/>
          <w:rFonts w:ascii="仿宋_GB2312" w:eastAsia="仿宋_GB2312" w:hAnsi="仿宋_GB2312" w:cs="仿宋_GB2312" w:hint="eastAsia"/>
          <w:b w:val="0"/>
          <w:bCs w:val="0"/>
          <w:color w:val="auto"/>
          <w:spacing w:val="-4"/>
          <w:sz w:val="28"/>
          <w:szCs w:val="28"/>
          <w:lang w:val="en-US" w:eastAsia="zh-CN"/>
        </w:rPr>
        <w:t>乌苏市古尔图镇中心学校</w:t>
      </w:r>
      <w:r>
        <w:rPr>
          <w:rStyle w:val="Strong"/>
          <w:rFonts w:ascii="仿宋_GB2312" w:eastAsia="仿宋_GB2312" w:hAnsi="仿宋_GB2312" w:cs="仿宋_GB2312" w:hint="eastAsia"/>
          <w:b w:val="0"/>
          <w:bCs w:val="0"/>
          <w:color w:val="auto"/>
          <w:spacing w:val="-4"/>
          <w:sz w:val="28"/>
          <w:szCs w:val="28"/>
        </w:rPr>
        <w:t>对部门履职效果的满意度。</w:t>
      </w:r>
    </w:p>
    <w:p>
      <w:pPr>
        <w:pStyle w:val="ListParagraph"/>
        <w:snapToGrid w:val="0"/>
        <w:spacing w:line="540" w:lineRule="exact"/>
        <w:ind w:firstLine="624"/>
        <w:rPr>
          <w:rStyle w:val="Strong"/>
          <w:rFonts w:ascii="仿宋_GB2312" w:eastAsia="仿宋_GB2312" w:hAnsi="仿宋_GB2312" w:cs="仿宋_GB2312" w:hint="default"/>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val="en-US" w:eastAsia="zh-CN"/>
        </w:rPr>
        <w:t>指标2：</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val="en-US" w:eastAsia="zh-CN"/>
        </w:rPr>
        <w:t>学生满意度</w:t>
      </w:r>
      <w:r>
        <w:rPr>
          <w:rStyle w:val="Strong"/>
          <w:rFonts w:ascii="仿宋_GB2312" w:eastAsia="仿宋_GB2312" w:hAnsi="仿宋_GB2312" w:cs="仿宋_GB2312" w:hint="eastAsia"/>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lang w:eastAsia="zh-CN"/>
        </w:rPr>
        <w:t>：</w:t>
      </w:r>
      <w:r>
        <w:rPr>
          <w:rStyle w:val="Strong"/>
          <w:rFonts w:ascii="仿宋_GB2312" w:eastAsia="仿宋_GB2312" w:hAnsi="仿宋_GB2312" w:cs="仿宋_GB2312" w:hint="eastAsia"/>
          <w:b w:val="0"/>
          <w:bCs w:val="0"/>
          <w:color w:val="auto"/>
          <w:spacing w:val="-4"/>
          <w:sz w:val="28"/>
          <w:szCs w:val="28"/>
        </w:rPr>
        <w:t>预期指标值为“≥</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%，实际完成值是</w:t>
      </w:r>
      <w:r>
        <w:rPr>
          <w:rStyle w:val="Strong"/>
          <w:rFonts w:ascii="仿宋_GB2312" w:eastAsia="仿宋_GB2312" w:hAnsi="仿宋_GB2312" w:cs="仿宋_GB2312" w:hint="eastAsia"/>
          <w:b w:val="0"/>
          <w:bCs w:val="0"/>
          <w:color w:val="auto"/>
          <w:spacing w:val="-4"/>
          <w:sz w:val="28"/>
          <w:szCs w:val="28"/>
          <w:lang w:val="en-US" w:eastAsia="zh-CN"/>
        </w:rPr>
        <w:t>95</w:t>
      </w:r>
      <w:r>
        <w:rPr>
          <w:rStyle w:val="Strong"/>
          <w:rFonts w:ascii="仿宋_GB2312" w:eastAsia="仿宋_GB2312" w:hAnsi="仿宋_GB2312" w:cs="仿宋_GB2312" w:hint="eastAsia"/>
          <w:b w:val="0"/>
          <w:bCs w:val="0"/>
          <w:color w:val="auto"/>
          <w:spacing w:val="-4"/>
          <w:sz w:val="28"/>
          <w:szCs w:val="28"/>
        </w:rPr>
        <w:t>%，指标完成率是</w:t>
      </w:r>
      <w:r>
        <w:rPr>
          <w:rStyle w:val="Strong"/>
          <w:rFonts w:ascii="仿宋_GB2312" w:eastAsia="仿宋_GB2312" w:hAnsi="仿宋_GB2312" w:cs="仿宋_GB2312" w:hint="eastAsia"/>
          <w:b w:val="0"/>
          <w:bCs w:val="0"/>
          <w:color w:val="auto"/>
          <w:spacing w:val="-4"/>
          <w:sz w:val="28"/>
          <w:szCs w:val="28"/>
          <w:lang w:val="en-US" w:eastAsia="zh-CN"/>
        </w:rPr>
        <w:t>100.00</w:t>
      </w:r>
      <w:r>
        <w:rPr>
          <w:rStyle w:val="Strong"/>
          <w:rFonts w:ascii="仿宋_GB2312" w:eastAsia="仿宋_GB2312" w:hAnsi="仿宋_GB2312" w:cs="仿宋_GB2312" w:hint="eastAsia"/>
          <w:b w:val="0"/>
          <w:bCs w:val="0"/>
          <w:color w:val="auto"/>
          <w:spacing w:val="-4"/>
          <w:sz w:val="28"/>
          <w:szCs w:val="28"/>
        </w:rPr>
        <w:t>%，达到</w:t>
      </w:r>
      <w:r>
        <w:rPr>
          <w:rStyle w:val="Strong"/>
          <w:rFonts w:ascii="仿宋_GB2312" w:eastAsia="仿宋_GB2312" w:hAnsi="仿宋_GB2312" w:cs="仿宋_GB2312" w:hint="eastAsia"/>
          <w:b w:val="0"/>
          <w:bCs w:val="0"/>
          <w:color w:val="auto"/>
          <w:spacing w:val="-4"/>
          <w:sz w:val="28"/>
          <w:szCs w:val="28"/>
          <w:lang w:val="en-US" w:eastAsia="zh-CN"/>
        </w:rPr>
        <w:t>乌苏市古尔图镇中心学校</w:t>
      </w:r>
      <w:r>
        <w:rPr>
          <w:rStyle w:val="Strong"/>
          <w:rFonts w:ascii="仿宋_GB2312" w:eastAsia="仿宋_GB2312" w:hAnsi="仿宋_GB2312" w:cs="仿宋_GB2312" w:hint="eastAsia"/>
          <w:b w:val="0"/>
          <w:bCs w:val="0"/>
          <w:color w:val="auto"/>
          <w:spacing w:val="-4"/>
          <w:sz w:val="28"/>
          <w:szCs w:val="28"/>
        </w:rPr>
        <w:t>对部门履职效果的满意度。</w:t>
      </w:r>
    </w:p>
    <w:p>
      <w:pPr>
        <w:pStyle w:val="ListParagraph"/>
        <w:snapToGrid w:val="0"/>
        <w:spacing w:line="54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满意度指标共计</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个，完成</w:t>
      </w:r>
      <w:r>
        <w:rPr>
          <w:rStyle w:val="Strong"/>
          <w:rFonts w:ascii="仿宋_GB2312" w:eastAsia="仿宋_GB2312" w:hAnsi="仿宋_GB2312" w:cs="仿宋_GB2312" w:hint="eastAsia"/>
          <w:b w:val="0"/>
          <w:bCs w:val="0"/>
          <w:color w:val="auto"/>
          <w:spacing w:val="-4"/>
          <w:sz w:val="28"/>
          <w:szCs w:val="28"/>
          <w:lang w:val="en-US" w:eastAsia="zh-CN"/>
        </w:rPr>
        <w:t>2</w:t>
      </w:r>
      <w:r>
        <w:rPr>
          <w:rStyle w:val="Strong"/>
          <w:rFonts w:ascii="仿宋_GB2312" w:eastAsia="仿宋_GB2312" w:hAnsi="仿宋_GB2312" w:cs="仿宋_GB2312" w:hint="eastAsia"/>
          <w:b w:val="0"/>
          <w:bCs w:val="0"/>
          <w:color w:val="auto"/>
          <w:spacing w:val="-4"/>
          <w:sz w:val="28"/>
          <w:szCs w:val="28"/>
        </w:rPr>
        <w:t>个，达到部门（单位）服务对象对部门履职效果的满意度，服务对象满意度指标完成。</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7" w:name="_Toc22800_WPSOffice_Level1"/>
      <w:r>
        <w:rPr>
          <w:rStyle w:val="Strong"/>
          <w:rFonts w:ascii="黑体" w:eastAsia="黑体" w:hAnsi="黑体" w:cs="仿宋_GB2312" w:hint="eastAsia"/>
          <w:b w:val="0"/>
          <w:color w:val="auto"/>
          <w:spacing w:val="-4"/>
          <w:sz w:val="28"/>
          <w:szCs w:val="28"/>
        </w:rPr>
        <w:t>存在的主要问题</w:t>
      </w:r>
      <w:bookmarkEnd w:id="7"/>
    </w:p>
    <w:p>
      <w:pPr>
        <w:snapToGrid w:val="0"/>
        <w:spacing w:line="540" w:lineRule="exact"/>
        <w:ind w:firstLine="560" w:firstLineChars="200"/>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部分业务人员绩效管理意识有待增强，未能全面深入认识理解绩效管理工作的意义。绩效管理经验不足，预算绩效管理工作有待进一步落实。</w:t>
      </w:r>
    </w:p>
    <w:p>
      <w:pPr>
        <w:snapToGrid w:val="0"/>
        <w:spacing w:line="540" w:lineRule="exact"/>
        <w:ind w:firstLine="560" w:firstLineChars="200"/>
        <w:rPr>
          <w:rStyle w:val="Strong"/>
          <w:rFonts w:ascii="仿宋_GB2312" w:eastAsia="仿宋_GB2312" w:hAnsi="仿宋_GB2312" w:cs="仿宋_GB2312" w:hint="eastAsia"/>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绩效指标的明确性、可衡量性、相关性还需进一步提升。预算精细化管理还需完善，预算编制管理水平仍有进一步提升的空间。</w:t>
      </w:r>
    </w:p>
    <w:p>
      <w:pPr>
        <w:snapToGrid w:val="0"/>
        <w:spacing w:line="540" w:lineRule="exact"/>
        <w:ind w:firstLine="560" w:firstLineChars="200"/>
        <w:rPr>
          <w:rStyle w:val="Strong"/>
          <w:rFonts w:ascii="仿宋_GB2312" w:eastAsia="仿宋_GB2312" w:hAnsi="仿宋_GB2312" w:cs="仿宋_GB2312" w:hint="eastAsia"/>
          <w:b w:val="0"/>
          <w:bCs w:val="0"/>
          <w:color w:val="auto"/>
          <w:spacing w:val="-4"/>
          <w:sz w:val="28"/>
          <w:szCs w:val="28"/>
          <w:lang w:val="en-US" w:eastAsia="zh-CN"/>
        </w:rPr>
      </w:pPr>
      <w:r>
        <w:rPr>
          <w:rStyle w:val="Strong"/>
          <w:rFonts w:ascii="仿宋_GB2312" w:eastAsia="仿宋_GB2312" w:hAnsi="仿宋_GB2312" w:cs="仿宋_GB2312" w:hint="eastAsia"/>
          <w:b w:val="0"/>
          <w:bCs w:val="0"/>
          <w:color w:val="auto"/>
          <w:spacing w:val="-4"/>
          <w:sz w:val="28"/>
          <w:szCs w:val="28"/>
          <w:lang w:val="en-US" w:eastAsia="zh-CN"/>
        </w:rPr>
        <w:t>预算编制前根据年度内单位可预见的工作任务，确定了单位年度预算目标，细化了预算指标，但是在实际支付过程中，出现了未严格按照预算指标执行的现象。</w:t>
      </w:r>
    </w:p>
    <w:p>
      <w:pPr>
        <w:pStyle w:val="ListParagraph"/>
        <w:numPr>
          <w:ilvl w:val="0"/>
          <w:numId w:val="2"/>
        </w:numPr>
        <w:snapToGrid w:val="0"/>
        <w:spacing w:line="540" w:lineRule="exact"/>
        <w:ind w:firstLineChars="0"/>
        <w:outlineLvl w:val="0"/>
        <w:rPr>
          <w:rStyle w:val="Strong"/>
          <w:rFonts w:ascii="黑体" w:eastAsia="黑体" w:hAnsi="黑体" w:cs="仿宋_GB2312"/>
          <w:b w:val="0"/>
          <w:color w:val="auto"/>
          <w:spacing w:val="-4"/>
          <w:sz w:val="28"/>
          <w:szCs w:val="28"/>
        </w:rPr>
      </w:pPr>
      <w:bookmarkStart w:id="8" w:name="_Toc29546_WPSOffice_Level1"/>
      <w:r>
        <w:rPr>
          <w:rStyle w:val="Strong"/>
          <w:rFonts w:ascii="黑体" w:eastAsia="黑体" w:hAnsi="黑体" w:cs="仿宋_GB2312" w:hint="eastAsia"/>
          <w:b w:val="0"/>
          <w:color w:val="auto"/>
          <w:spacing w:val="-4"/>
          <w:sz w:val="28"/>
          <w:szCs w:val="28"/>
        </w:rPr>
        <w:t>改进措施和建议</w:t>
      </w:r>
      <w:bookmarkEnd w:id="8"/>
    </w:p>
    <w:p>
      <w:pPr>
        <w:pStyle w:val="ListParagraph"/>
        <w:snapToGrid w:val="0"/>
        <w:spacing w:line="540" w:lineRule="exact"/>
        <w:ind w:firstLine="627"/>
        <w:outlineLvl w:val="1"/>
        <w:rPr>
          <w:rStyle w:val="Strong"/>
          <w:rFonts w:ascii="楷体_GB2312" w:eastAsia="楷体_GB2312" w:hAnsi="仿宋_GB2312" w:cs="仿宋_GB2312"/>
          <w:color w:val="auto"/>
          <w:spacing w:val="-4"/>
          <w:sz w:val="28"/>
          <w:szCs w:val="28"/>
        </w:rPr>
      </w:pPr>
      <w:r>
        <w:rPr>
          <w:rStyle w:val="Strong"/>
          <w:rFonts w:ascii="楷体_GB2312" w:eastAsia="楷体_GB2312" w:hAnsi="仿宋_GB2312" w:cs="仿宋_GB2312" w:hint="eastAsia"/>
          <w:color w:val="auto"/>
          <w:spacing w:val="-4"/>
          <w:sz w:val="28"/>
          <w:szCs w:val="28"/>
        </w:rPr>
        <w:t>（一）改进措施</w:t>
      </w:r>
    </w:p>
    <w:p>
      <w:pPr>
        <w:spacing w:line="540" w:lineRule="exact"/>
        <w:ind w:firstLine="507" w:firstLineChars="181"/>
        <w:rPr>
          <w:rStyle w:val="Strong"/>
          <w:rFonts w:ascii="仿宋_GB2312" w:eastAsia="仿宋_GB2312" w:hAnsi="楷体" w:cstheme="minorBidi"/>
          <w:b w:val="0"/>
          <w:color w:val="auto"/>
          <w:spacing w:val="-4"/>
          <w:sz w:val="28"/>
          <w:szCs w:val="28"/>
        </w:rPr>
      </w:pPr>
      <w:r>
        <w:rPr>
          <w:rStyle w:val="Strong"/>
          <w:rFonts w:ascii="仿宋_GB2312" w:eastAsia="仿宋_GB2312" w:hAnsi="楷体" w:cstheme="minorBidi" w:hint="eastAsia"/>
          <w:b w:val="0"/>
          <w:color w:val="auto"/>
          <w:spacing w:val="-4"/>
          <w:sz w:val="28"/>
          <w:szCs w:val="28"/>
        </w:rPr>
        <w:t>1、加强学习，提高思想认识。组织单位财务人员认真学习</w:t>
      </w:r>
      <w:r>
        <w:rPr>
          <w:rStyle w:val="Strong"/>
          <w:rFonts w:ascii="仿宋_GB2312" w:eastAsia="仿宋_GB2312" w:hAnsi="楷体" w:cstheme="minorBidi" w:hint="eastAsia"/>
          <w:b w:val="0"/>
          <w:color w:val="auto"/>
          <w:spacing w:val="-4"/>
          <w:sz w:val="28"/>
          <w:szCs w:val="28"/>
          <w:lang w:val="en-US" w:eastAsia="zh-CN"/>
        </w:rPr>
        <w:t>各项财经</w:t>
      </w:r>
      <w:r>
        <w:rPr>
          <w:rStyle w:val="Strong"/>
          <w:rFonts w:ascii="仿宋_GB2312" w:eastAsia="仿宋_GB2312" w:hAnsi="楷体" w:cstheme="minorBidi" w:hint="eastAsia"/>
          <w:b w:val="0"/>
          <w:color w:val="auto"/>
          <w:spacing w:val="-4"/>
          <w:sz w:val="28"/>
          <w:szCs w:val="28"/>
        </w:rPr>
        <w:t>法规、</w:t>
      </w:r>
      <w:r>
        <w:rPr>
          <w:rStyle w:val="Strong"/>
          <w:rFonts w:ascii="仿宋_GB2312" w:eastAsia="仿宋_GB2312" w:hAnsi="楷体" w:cstheme="minorBidi" w:hint="eastAsia"/>
          <w:b w:val="0"/>
          <w:color w:val="auto"/>
          <w:spacing w:val="-4"/>
          <w:sz w:val="28"/>
          <w:szCs w:val="28"/>
          <w:lang w:val="en-US" w:eastAsia="zh-CN"/>
        </w:rPr>
        <w:t>财务</w:t>
      </w:r>
      <w:r>
        <w:rPr>
          <w:rStyle w:val="Strong"/>
          <w:rFonts w:ascii="仿宋_GB2312" w:eastAsia="仿宋_GB2312" w:hAnsi="楷体" w:cstheme="minorBidi" w:hint="eastAsia"/>
          <w:b w:val="0"/>
          <w:color w:val="auto"/>
          <w:spacing w:val="-4"/>
          <w:sz w:val="28"/>
          <w:szCs w:val="28"/>
        </w:rPr>
        <w:t>制度，提高单位领导对</w:t>
      </w:r>
      <w:r>
        <w:rPr>
          <w:rStyle w:val="Strong"/>
          <w:rFonts w:ascii="仿宋_GB2312" w:eastAsia="仿宋_GB2312" w:hAnsi="楷体" w:cstheme="minorBidi" w:hint="eastAsia"/>
          <w:b w:val="0"/>
          <w:color w:val="auto"/>
          <w:spacing w:val="-4"/>
          <w:sz w:val="28"/>
          <w:szCs w:val="28"/>
          <w:lang w:val="en-US" w:eastAsia="zh-CN"/>
        </w:rPr>
        <w:t>资金的</w:t>
      </w:r>
      <w:r>
        <w:rPr>
          <w:rStyle w:val="Strong"/>
          <w:rFonts w:ascii="仿宋_GB2312" w:eastAsia="仿宋_GB2312" w:hAnsi="楷体" w:cstheme="minorBidi" w:hint="eastAsia"/>
          <w:b w:val="0"/>
          <w:color w:val="auto"/>
          <w:spacing w:val="-4"/>
          <w:sz w:val="28"/>
          <w:szCs w:val="28"/>
        </w:rPr>
        <w:t>全面管理的重视程度，增强财务人员的预算</w:t>
      </w:r>
      <w:r>
        <w:rPr>
          <w:rStyle w:val="Strong"/>
          <w:rFonts w:ascii="仿宋_GB2312" w:eastAsia="仿宋_GB2312" w:hAnsi="楷体" w:cstheme="minorBidi" w:hint="eastAsia"/>
          <w:b w:val="0"/>
          <w:color w:val="auto"/>
          <w:spacing w:val="-4"/>
          <w:sz w:val="28"/>
          <w:szCs w:val="28"/>
          <w:lang w:val="en-US" w:eastAsia="zh-CN"/>
        </w:rPr>
        <w:t>和风险</w:t>
      </w:r>
      <w:r>
        <w:rPr>
          <w:rStyle w:val="Strong"/>
          <w:rFonts w:ascii="仿宋_GB2312" w:eastAsia="仿宋_GB2312" w:hAnsi="楷体" w:cstheme="minorBidi" w:hint="eastAsia"/>
          <w:b w:val="0"/>
          <w:color w:val="auto"/>
          <w:spacing w:val="-4"/>
          <w:sz w:val="28"/>
          <w:szCs w:val="28"/>
        </w:rPr>
        <w:t>意识。</w:t>
      </w:r>
    </w:p>
    <w:p>
      <w:pPr>
        <w:pStyle w:val="1"/>
        <w:snapToGrid w:val="0"/>
        <w:spacing w:line="570" w:lineRule="exact"/>
        <w:ind w:firstLine="624"/>
        <w:rPr>
          <w:rFonts w:ascii="仿宋" w:eastAsia="仿宋" w:hAnsi="仿宋" w:hint="eastAsia"/>
          <w:color w:val="auto"/>
          <w:sz w:val="28"/>
          <w:szCs w:val="28"/>
          <w:lang w:val="en-US" w:eastAsia="zh-CN"/>
        </w:rPr>
      </w:pPr>
      <w:r>
        <w:rPr>
          <w:rStyle w:val="Strong"/>
          <w:rFonts w:ascii="仿宋_GB2312" w:eastAsia="仿宋_GB2312" w:hAnsi="楷体" w:cstheme="minorBidi" w:hint="eastAsia"/>
          <w:b w:val="0"/>
          <w:color w:val="auto"/>
          <w:spacing w:val="-4"/>
          <w:sz w:val="28"/>
          <w:szCs w:val="28"/>
          <w:lang w:val="en-US" w:eastAsia="zh-CN"/>
        </w:rPr>
        <w:t>2</w:t>
      </w:r>
      <w:r>
        <w:rPr>
          <w:rStyle w:val="Strong"/>
          <w:rFonts w:ascii="仿宋_GB2312" w:eastAsia="仿宋_GB2312" w:hAnsi="楷体" w:cstheme="minorBidi" w:hint="eastAsia"/>
          <w:b w:val="0"/>
          <w:color w:val="auto"/>
          <w:spacing w:val="-4"/>
          <w:sz w:val="28"/>
          <w:szCs w:val="28"/>
        </w:rPr>
        <w:t>、规范财务运行，加强预算</w:t>
      </w:r>
      <w:r>
        <w:rPr>
          <w:rStyle w:val="Strong"/>
          <w:rFonts w:ascii="仿宋_GB2312" w:eastAsia="仿宋_GB2312" w:hAnsi="楷体" w:cstheme="minorBidi" w:hint="eastAsia"/>
          <w:b w:val="0"/>
          <w:color w:val="auto"/>
          <w:spacing w:val="-4"/>
          <w:sz w:val="28"/>
          <w:szCs w:val="28"/>
          <w:lang w:val="en-US" w:eastAsia="zh-CN"/>
        </w:rPr>
        <w:t>执行</w:t>
      </w:r>
      <w:r>
        <w:rPr>
          <w:rStyle w:val="Strong"/>
          <w:rFonts w:ascii="仿宋_GB2312" w:eastAsia="仿宋_GB2312" w:hAnsi="楷体" w:cstheme="minorBidi" w:hint="eastAsia"/>
          <w:b w:val="0"/>
          <w:color w:val="auto"/>
          <w:spacing w:val="-4"/>
          <w:sz w:val="28"/>
          <w:szCs w:val="28"/>
        </w:rPr>
        <w:t>管理。严格遵循“先有预算、后有支出”的原则，建立健全并认真执行各项资金使用管理制度，建立内部控制机制，资金使用严格履行审批程序，确保资金支出合法、真实。</w:t>
      </w:r>
      <w:r>
        <w:rPr>
          <w:rStyle w:val="Strong"/>
          <w:rFonts w:ascii="仿宋_GB2312" w:eastAsia="仿宋_GB2312" w:hAnsi="仿宋_GB2312" w:cs="仿宋_GB2312" w:hint="eastAsia"/>
          <w:b w:val="0"/>
          <w:bCs w:val="0"/>
          <w:color w:val="auto"/>
          <w:spacing w:val="-4"/>
          <w:sz w:val="28"/>
          <w:szCs w:val="28"/>
        </w:rPr>
        <w:t>做好事前审批、事中管理和事后监督工作，不断加快预算执行进度，推动预算执行按照资金计划有序进行。</w:t>
      </w:r>
    </w:p>
    <w:p>
      <w:pPr>
        <w:pStyle w:val="1"/>
        <w:snapToGrid w:val="0"/>
        <w:spacing w:line="570" w:lineRule="exact"/>
        <w:ind w:firstLine="624"/>
        <w:rPr>
          <w:rFonts w:ascii="仿宋" w:eastAsia="仿宋" w:hAnsi="仿宋" w:hint="eastAsia"/>
          <w:color w:val="auto"/>
          <w:sz w:val="28"/>
          <w:szCs w:val="28"/>
        </w:rPr>
      </w:pPr>
      <w:r>
        <w:rPr>
          <w:rFonts w:ascii="仿宋" w:eastAsia="仿宋" w:hAnsi="仿宋" w:hint="eastAsia"/>
          <w:color w:val="auto"/>
          <w:sz w:val="28"/>
          <w:szCs w:val="28"/>
          <w:lang w:val="en-US" w:eastAsia="zh-CN"/>
        </w:rPr>
        <w:t>3</w:t>
      </w:r>
      <w:r>
        <w:rPr>
          <w:rFonts w:ascii="仿宋" w:eastAsia="仿宋" w:hAnsi="仿宋" w:hint="eastAsia"/>
          <w:color w:val="auto"/>
          <w:sz w:val="28"/>
          <w:szCs w:val="28"/>
        </w:rPr>
        <w:t>、对相关人员加强培训，特别是针对《预算法》、《行政事业单位会计制度》等学习培训，规范部门预算收支核算，切实提高部门预算收支管理水平。</w:t>
      </w:r>
    </w:p>
    <w:p>
      <w:pPr>
        <w:pStyle w:val="1"/>
        <w:snapToGrid w:val="0"/>
        <w:spacing w:line="570" w:lineRule="exact"/>
        <w:ind w:left="0" w:firstLine="560" w:leftChars="0" w:firstLineChars="200"/>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4</w:t>
      </w:r>
      <w:r>
        <w:rPr>
          <w:rStyle w:val="Strong"/>
          <w:rFonts w:ascii="仿宋_GB2312" w:eastAsia="仿宋_GB2312" w:hAnsi="仿宋_GB2312" w:cs="仿宋_GB2312" w:hint="eastAsia"/>
          <w:b w:val="0"/>
          <w:bCs w:val="0"/>
          <w:color w:val="auto"/>
          <w:spacing w:val="-4"/>
          <w:sz w:val="28"/>
          <w:szCs w:val="28"/>
        </w:rPr>
        <w:t>.不断完善预算绩效管理相关工作制度，建立全过程预算绩效管理链条，有效贯彻落实全面实施绩效管理的精神。</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5</w:t>
      </w:r>
      <w:r>
        <w:rPr>
          <w:rStyle w:val="Strong"/>
          <w:rFonts w:ascii="仿宋_GB2312" w:eastAsia="仿宋_GB2312" w:hAnsi="仿宋_GB2312" w:cs="仿宋_GB2312" w:hint="eastAsia"/>
          <w:b w:val="0"/>
          <w:bCs w:val="0"/>
          <w:color w:val="auto"/>
          <w:spacing w:val="-4"/>
          <w:sz w:val="28"/>
          <w:szCs w:val="28"/>
        </w:rPr>
        <w:t>.统筹协调部门内部的资金需求和经费分配，通过分清轻重缓急，突出重点，合理保障部门运行及各项财政工作的顺利开展。牢固树立“过紧日子”思想，落实党中央八项规定精神，严控机关运行经费等一般性支出，确保厉行节约落到实处。</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6</w:t>
      </w:r>
      <w:r>
        <w:rPr>
          <w:rStyle w:val="Strong"/>
          <w:rFonts w:ascii="仿宋_GB2312" w:eastAsia="仿宋_GB2312" w:hAnsi="仿宋_GB2312" w:cs="仿宋_GB2312" w:hint="eastAsia"/>
          <w:b w:val="0"/>
          <w:bCs w:val="0"/>
          <w:color w:val="auto"/>
          <w:spacing w:val="-4"/>
          <w:sz w:val="28"/>
          <w:szCs w:val="28"/>
        </w:rPr>
        <w:t>.强化支出预算约束，进一步提高年初预算编制的科学性和准确性，完善预算执行动态约束机制，加强财政预算资金管理，统筹协调推进项目执行，提高财政资金效益和效果。</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lang w:val="en-US" w:eastAsia="zh-CN"/>
        </w:rPr>
        <w:t>7</w:t>
      </w:r>
      <w:r>
        <w:rPr>
          <w:rStyle w:val="Strong"/>
          <w:rFonts w:ascii="仿宋_GB2312" w:eastAsia="仿宋_GB2312" w:hAnsi="仿宋_GB2312" w:cs="仿宋_GB2312" w:hint="eastAsia"/>
          <w:b w:val="0"/>
          <w:bCs w:val="0"/>
          <w:color w:val="auto"/>
          <w:spacing w:val="-4"/>
          <w:sz w:val="28"/>
          <w:szCs w:val="28"/>
        </w:rPr>
        <w:t>. 强化内部控制管理，严格按规定做好绩效目标申报、自评、公开等相关工作，提高财政资金使用绩效；加强实物资产管理，健全资产管理制度，规范资产清查和核算。</w:t>
      </w:r>
    </w:p>
    <w:p>
      <w:pPr>
        <w:pStyle w:val="ListParagraph"/>
        <w:snapToGrid w:val="0"/>
        <w:spacing w:line="540" w:lineRule="exact"/>
        <w:ind w:firstLine="624"/>
        <w:outlineLvl w:val="1"/>
        <w:rPr>
          <w:rStyle w:val="Strong"/>
          <w:rFonts w:ascii="楷体_GB2312" w:eastAsia="楷体_GB2312" w:hAnsi="仿宋_GB2312" w:cs="仿宋_GB2312"/>
          <w:b w:val="0"/>
          <w:bCs w:val="0"/>
          <w:color w:val="auto"/>
          <w:spacing w:val="-4"/>
          <w:sz w:val="28"/>
          <w:szCs w:val="28"/>
        </w:rPr>
      </w:pPr>
      <w:r>
        <w:rPr>
          <w:rStyle w:val="Strong"/>
          <w:rFonts w:ascii="楷体_GB2312" w:eastAsia="楷体_GB2312" w:hAnsi="仿宋_GB2312" w:cs="仿宋_GB2312" w:hint="eastAsia"/>
          <w:b w:val="0"/>
          <w:bCs w:val="0"/>
          <w:color w:val="auto"/>
          <w:spacing w:val="-4"/>
          <w:sz w:val="28"/>
          <w:szCs w:val="28"/>
        </w:rPr>
        <w:t>（</w:t>
      </w:r>
      <w:r>
        <w:rPr>
          <w:rStyle w:val="Strong"/>
          <w:rFonts w:ascii="楷体_GB2312" w:eastAsia="楷体_GB2312" w:hAnsi="仿宋_GB2312" w:cs="仿宋_GB2312" w:hint="eastAsia"/>
          <w:color w:val="auto"/>
          <w:spacing w:val="-4"/>
          <w:sz w:val="28"/>
          <w:szCs w:val="28"/>
        </w:rPr>
        <w:t>二）建议</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hint="eastAsia"/>
          <w:b w:val="0"/>
          <w:bCs w:val="0"/>
          <w:color w:val="auto"/>
          <w:spacing w:val="-4"/>
          <w:sz w:val="28"/>
          <w:szCs w:val="28"/>
        </w:rPr>
        <w:t>1</w:t>
      </w:r>
      <w:r>
        <w:rPr>
          <w:rStyle w:val="Strong"/>
          <w:rFonts w:ascii="仿宋_GB2312" w:eastAsia="仿宋_GB2312" w:hAnsi="仿宋_GB2312" w:cs="仿宋_GB2312"/>
          <w:b w:val="0"/>
          <w:bCs w:val="0"/>
          <w:color w:val="auto"/>
          <w:spacing w:val="-4"/>
          <w:sz w:val="28"/>
          <w:szCs w:val="28"/>
        </w:rPr>
        <w:t>.</w:t>
      </w:r>
      <w:r>
        <w:rPr>
          <w:rStyle w:val="Strong"/>
          <w:rFonts w:ascii="仿宋_GB2312" w:eastAsia="仿宋_GB2312" w:hAnsi="仿宋_GB2312" w:cs="仿宋_GB2312" w:hint="eastAsia"/>
          <w:b w:val="0"/>
          <w:bCs w:val="0"/>
          <w:color w:val="auto"/>
          <w:spacing w:val="-4"/>
          <w:sz w:val="28"/>
          <w:szCs w:val="28"/>
        </w:rPr>
        <w:t>加强预算绩效目标管理工作，明确预算项目绩效目标编制要求，分类别建立科学合理、细化量化、可比可测预算绩效指标体系，突出结果导向，重点考核实绩。</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r>
        <w:rPr>
          <w:rStyle w:val="Strong"/>
          <w:rFonts w:ascii="仿宋_GB2312" w:eastAsia="仿宋_GB2312" w:hAnsi="仿宋_GB2312" w:cs="仿宋_GB2312"/>
          <w:b w:val="0"/>
          <w:bCs w:val="0"/>
          <w:color w:val="auto"/>
          <w:spacing w:val="-4"/>
          <w:sz w:val="28"/>
          <w:szCs w:val="28"/>
        </w:rPr>
        <w:t>2.</w:t>
      </w:r>
      <w:r>
        <w:rPr>
          <w:rStyle w:val="Strong"/>
          <w:rFonts w:ascii="仿宋_GB2312" w:eastAsia="仿宋_GB2312" w:hAnsi="仿宋_GB2312" w:cs="仿宋_GB2312" w:hint="eastAsia"/>
          <w:b w:val="0"/>
          <w:bCs w:val="0"/>
          <w:color w:val="auto"/>
          <w:spacing w:val="-4"/>
          <w:sz w:val="28"/>
          <w:szCs w:val="28"/>
        </w:rPr>
        <w:t>采取多种培训形式对单位财务人员、业务科室人员进行集中培训，进一步树牢绩效观念，提高本单位工作人员的绩效管理能力和工作水平，为预算绩效管理相关工作的顺利开展提供保障。 同时，强化预算绩效执行工作，指定专人负责预算执行监督管理，进一步推动预算绩效管理工作。</w:t>
      </w:r>
    </w:p>
    <w:p>
      <w:pPr>
        <w:pStyle w:val="Heading1"/>
        <w:spacing w:line="570" w:lineRule="exact"/>
        <w:ind w:firstLine="640"/>
        <w:rPr>
          <w:rFonts w:ascii="黑体" w:hAnsi="黑体"/>
          <w:b w:val="0"/>
          <w:color w:val="auto"/>
          <w:sz w:val="28"/>
          <w:szCs w:val="28"/>
        </w:rPr>
      </w:pPr>
      <w:r>
        <w:rPr>
          <w:rFonts w:ascii="黑体" w:hAnsi="黑体" w:hint="eastAsia"/>
          <w:b w:val="0"/>
          <w:color w:val="auto"/>
          <w:sz w:val="28"/>
          <w:szCs w:val="28"/>
        </w:rPr>
        <w:t>八、附表</w:t>
      </w:r>
    </w:p>
    <w:p>
      <w:pPr>
        <w:spacing w:line="570" w:lineRule="exact"/>
        <w:ind w:firstLine="640"/>
        <w:rPr>
          <w:rFonts w:ascii="仿宋_GB2312" w:eastAsia="仿宋_GB2312"/>
          <w:color w:val="auto"/>
          <w:sz w:val="28"/>
          <w:szCs w:val="28"/>
        </w:rPr>
      </w:pPr>
      <w:r>
        <w:rPr>
          <w:rFonts w:ascii="仿宋_GB2312" w:eastAsia="仿宋_GB2312" w:hint="eastAsia"/>
          <w:color w:val="auto"/>
          <w:sz w:val="28"/>
          <w:szCs w:val="28"/>
        </w:rPr>
        <w:t>《部门整体支出绩效目标自评表》</w:t>
      </w:r>
    </w:p>
    <w:p>
      <w:pPr>
        <w:pStyle w:val="1"/>
        <w:snapToGrid w:val="0"/>
        <w:spacing w:line="570" w:lineRule="exact"/>
        <w:ind w:firstLine="624"/>
        <w:rPr>
          <w:rStyle w:val="Strong"/>
          <w:rFonts w:ascii="仿宋_GB2312" w:eastAsia="仿宋_GB2312" w:hAnsi="仿宋_GB2312" w:cs="仿宋_GB2312"/>
          <w:b w:val="0"/>
          <w:bCs w:val="0"/>
          <w:color w:val="auto"/>
          <w:spacing w:val="-4"/>
          <w:sz w:val="28"/>
          <w:szCs w:val="28"/>
        </w:rPr>
      </w:pPr>
    </w:p>
    <w:sectPr>
      <w:footerReference w:type="default" r:id="rId6"/>
      <w:pgSz w:w="11906" w:h="16838"/>
      <w:pgMar w:top="1440" w:right="1800" w:bottom="1440" w:left="1800" w:header="851" w:footer="992" w:gutter="0"/>
      <w:pgNumType w:fmt="numberInDash" w:start="1"/>
      <w:cols w:num="1" w:space="72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panose1 w:val="02010609030101010101"/>
    <w:charset w:val="86"/>
    <w:family w:val="modern"/>
    <w:pitch w:val="default"/>
    <w:sig w:usb0="00000001" w:usb1="080E0000" w:usb2="00000000" w:usb3="00000000" w:csb0="00040000"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仿宋">
    <w:panose1 w:val="02010609060101010101"/>
    <w:charset w:val="86"/>
    <w:family w:val="modern"/>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p>
    <w:pPr>
      <w:pStyle w:val="Footer"/>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1 -</w:t>
    </w:r>
    <w:r>
      <w:rPr>
        <w:rFonts w:ascii="宋体" w:hAnsi="宋体"/>
        <w:sz w:val="28"/>
        <w:szCs w:val="28"/>
      </w:rPr>
      <w:fldChar w:fldCharType="end"/>
    </w:r>
  </w:p>
  <w:p>
    <w:pPr>
      <w:pStyle w:val="Footer"/>
    </w:pPr>
  </w:p>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w:abstractNum w:abstractNumId="0">
    <w:nsid w:val="20A22C4C"/>
    <w:multiLevelType w:val="multilevel"/>
    <w:tmpl w:val="20A22C4C"/>
    <w:lvl w:ilvl="0">
      <w:start w:val="4"/>
      <w:numFmt w:val="japaneseCounting"/>
      <w:lvlText w:val="%1、"/>
      <w:lvlJc w:val="left"/>
      <w:pPr>
        <w:ind w:left="1360" w:hanging="720"/>
      </w:pPr>
      <w:rPr>
        <w:rFonts w:ascii="黑体" w:eastAsia="黑体" w:hAnsi="黑体"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C6D319F"/>
    <w:rsid w:val="000413BE"/>
    <w:rsid w:val="000771B8"/>
    <w:rsid w:val="0008291D"/>
    <w:rsid w:val="00097340"/>
    <w:rsid w:val="000A0144"/>
    <w:rsid w:val="000C4E29"/>
    <w:rsid w:val="000D3AFA"/>
    <w:rsid w:val="000E1B81"/>
    <w:rsid w:val="0012092B"/>
    <w:rsid w:val="00141421"/>
    <w:rsid w:val="00191BA3"/>
    <w:rsid w:val="001B12C6"/>
    <w:rsid w:val="001C1E1D"/>
    <w:rsid w:val="001E4F33"/>
    <w:rsid w:val="001E750D"/>
    <w:rsid w:val="0022744B"/>
    <w:rsid w:val="00234372"/>
    <w:rsid w:val="00292A50"/>
    <w:rsid w:val="002939FF"/>
    <w:rsid w:val="002F7CCD"/>
    <w:rsid w:val="003929FD"/>
    <w:rsid w:val="003F0DB2"/>
    <w:rsid w:val="00424A01"/>
    <w:rsid w:val="00491D09"/>
    <w:rsid w:val="004E1483"/>
    <w:rsid w:val="0054132C"/>
    <w:rsid w:val="00596691"/>
    <w:rsid w:val="005A717C"/>
    <w:rsid w:val="005B1250"/>
    <w:rsid w:val="00611BCD"/>
    <w:rsid w:val="006258B7"/>
    <w:rsid w:val="00633862"/>
    <w:rsid w:val="0064345D"/>
    <w:rsid w:val="00643A54"/>
    <w:rsid w:val="006A3B9F"/>
    <w:rsid w:val="006B4CDA"/>
    <w:rsid w:val="006C5BED"/>
    <w:rsid w:val="006C5D3A"/>
    <w:rsid w:val="006D4FCD"/>
    <w:rsid w:val="006F7865"/>
    <w:rsid w:val="00702D4A"/>
    <w:rsid w:val="007115C8"/>
    <w:rsid w:val="00722C79"/>
    <w:rsid w:val="00724F4D"/>
    <w:rsid w:val="007C10B5"/>
    <w:rsid w:val="007E7E99"/>
    <w:rsid w:val="008055E5"/>
    <w:rsid w:val="00825D99"/>
    <w:rsid w:val="0083468B"/>
    <w:rsid w:val="00846033"/>
    <w:rsid w:val="0089387B"/>
    <w:rsid w:val="008A2BC0"/>
    <w:rsid w:val="008D7233"/>
    <w:rsid w:val="008E7E52"/>
    <w:rsid w:val="009304D8"/>
    <w:rsid w:val="0093778D"/>
    <w:rsid w:val="0097614B"/>
    <w:rsid w:val="0099431C"/>
    <w:rsid w:val="009A0026"/>
    <w:rsid w:val="009A48E2"/>
    <w:rsid w:val="009F5A38"/>
    <w:rsid w:val="00AA5126"/>
    <w:rsid w:val="00AD16CD"/>
    <w:rsid w:val="00AF2262"/>
    <w:rsid w:val="00B5590F"/>
    <w:rsid w:val="00B86B60"/>
    <w:rsid w:val="00BA13C5"/>
    <w:rsid w:val="00BC0470"/>
    <w:rsid w:val="00BD7AB3"/>
    <w:rsid w:val="00BE1042"/>
    <w:rsid w:val="00BF62C2"/>
    <w:rsid w:val="00C72152"/>
    <w:rsid w:val="00C77007"/>
    <w:rsid w:val="00C810B5"/>
    <w:rsid w:val="00CD2F35"/>
    <w:rsid w:val="00CD5A03"/>
    <w:rsid w:val="00D60CFB"/>
    <w:rsid w:val="00D82401"/>
    <w:rsid w:val="00D9126A"/>
    <w:rsid w:val="00D93262"/>
    <w:rsid w:val="00DA174B"/>
    <w:rsid w:val="00DB1085"/>
    <w:rsid w:val="00E11AF4"/>
    <w:rsid w:val="00E2652D"/>
    <w:rsid w:val="00E41758"/>
    <w:rsid w:val="00E64E1C"/>
    <w:rsid w:val="00E756AE"/>
    <w:rsid w:val="00EB1FFE"/>
    <w:rsid w:val="00F113E6"/>
    <w:rsid w:val="00F326C7"/>
    <w:rsid w:val="00F616D8"/>
    <w:rsid w:val="00F84215"/>
    <w:rsid w:val="00FF2ACD"/>
    <w:rsid w:val="012008EE"/>
    <w:rsid w:val="01CC583F"/>
    <w:rsid w:val="02F0645D"/>
    <w:rsid w:val="02F154D8"/>
    <w:rsid w:val="03E7355C"/>
    <w:rsid w:val="04FF0482"/>
    <w:rsid w:val="05062887"/>
    <w:rsid w:val="05E27A84"/>
    <w:rsid w:val="05F70F85"/>
    <w:rsid w:val="064A12E8"/>
    <w:rsid w:val="084208C4"/>
    <w:rsid w:val="098A3C0A"/>
    <w:rsid w:val="0A9A7091"/>
    <w:rsid w:val="0D110C4F"/>
    <w:rsid w:val="0E680D42"/>
    <w:rsid w:val="0FBB256C"/>
    <w:rsid w:val="0FD85BE9"/>
    <w:rsid w:val="10FE60D7"/>
    <w:rsid w:val="1306704B"/>
    <w:rsid w:val="1312127D"/>
    <w:rsid w:val="134D1759"/>
    <w:rsid w:val="13BC0D2C"/>
    <w:rsid w:val="15085607"/>
    <w:rsid w:val="175D58E3"/>
    <w:rsid w:val="18061B60"/>
    <w:rsid w:val="190C3DF8"/>
    <w:rsid w:val="19F83E30"/>
    <w:rsid w:val="1A554870"/>
    <w:rsid w:val="1B403139"/>
    <w:rsid w:val="1BB630ED"/>
    <w:rsid w:val="1C2A528A"/>
    <w:rsid w:val="1C6D319F"/>
    <w:rsid w:val="1D4D74D6"/>
    <w:rsid w:val="1DE32CFD"/>
    <w:rsid w:val="1EC51899"/>
    <w:rsid w:val="1F1A602A"/>
    <w:rsid w:val="1F2854B6"/>
    <w:rsid w:val="1F42113B"/>
    <w:rsid w:val="21C768CD"/>
    <w:rsid w:val="21EB1616"/>
    <w:rsid w:val="22E14253"/>
    <w:rsid w:val="233A2120"/>
    <w:rsid w:val="23F209A3"/>
    <w:rsid w:val="2403516E"/>
    <w:rsid w:val="241F37F9"/>
    <w:rsid w:val="245D5FE9"/>
    <w:rsid w:val="256A2A9E"/>
    <w:rsid w:val="278510E6"/>
    <w:rsid w:val="2805537E"/>
    <w:rsid w:val="289437EE"/>
    <w:rsid w:val="29453736"/>
    <w:rsid w:val="2DB30318"/>
    <w:rsid w:val="2EBF757D"/>
    <w:rsid w:val="2F294121"/>
    <w:rsid w:val="30AD530F"/>
    <w:rsid w:val="31B83F5F"/>
    <w:rsid w:val="328E2AB6"/>
    <w:rsid w:val="329B12EA"/>
    <w:rsid w:val="32AB5677"/>
    <w:rsid w:val="33A15FD9"/>
    <w:rsid w:val="33A83F87"/>
    <w:rsid w:val="355C2B3F"/>
    <w:rsid w:val="35F12468"/>
    <w:rsid w:val="36462E68"/>
    <w:rsid w:val="36851B5C"/>
    <w:rsid w:val="37D360CA"/>
    <w:rsid w:val="38CB5066"/>
    <w:rsid w:val="39753987"/>
    <w:rsid w:val="3A3671EE"/>
    <w:rsid w:val="3F06691D"/>
    <w:rsid w:val="3F301058"/>
    <w:rsid w:val="3FCA7C7B"/>
    <w:rsid w:val="3FFA0F4B"/>
    <w:rsid w:val="417A34F9"/>
    <w:rsid w:val="418810F4"/>
    <w:rsid w:val="41A37673"/>
    <w:rsid w:val="42C30950"/>
    <w:rsid w:val="42C95507"/>
    <w:rsid w:val="44D53D34"/>
    <w:rsid w:val="45A65C7F"/>
    <w:rsid w:val="468C2A4A"/>
    <w:rsid w:val="46AD2493"/>
    <w:rsid w:val="46EC7F14"/>
    <w:rsid w:val="48AF4C7F"/>
    <w:rsid w:val="49787384"/>
    <w:rsid w:val="4A81677A"/>
    <w:rsid w:val="4DA177B2"/>
    <w:rsid w:val="4DF36D4F"/>
    <w:rsid w:val="4EB41A1D"/>
    <w:rsid w:val="501B7C76"/>
    <w:rsid w:val="504D5CCF"/>
    <w:rsid w:val="5253743C"/>
    <w:rsid w:val="52DA2EF0"/>
    <w:rsid w:val="533A7469"/>
    <w:rsid w:val="53526129"/>
    <w:rsid w:val="535B782C"/>
    <w:rsid w:val="565F61A9"/>
    <w:rsid w:val="56905D0D"/>
    <w:rsid w:val="57232FC4"/>
    <w:rsid w:val="572D2326"/>
    <w:rsid w:val="57365691"/>
    <w:rsid w:val="59EE1E48"/>
    <w:rsid w:val="5A490F5C"/>
    <w:rsid w:val="5BD21464"/>
    <w:rsid w:val="5BDE2B83"/>
    <w:rsid w:val="5C1E46AD"/>
    <w:rsid w:val="5D355238"/>
    <w:rsid w:val="610C0686"/>
    <w:rsid w:val="61635F72"/>
    <w:rsid w:val="618606C5"/>
    <w:rsid w:val="626D00A6"/>
    <w:rsid w:val="637767B6"/>
    <w:rsid w:val="63E114D3"/>
    <w:rsid w:val="648A6492"/>
    <w:rsid w:val="64CC2606"/>
    <w:rsid w:val="69E71654"/>
    <w:rsid w:val="6AD46D46"/>
    <w:rsid w:val="6DE07909"/>
    <w:rsid w:val="6E58438A"/>
    <w:rsid w:val="6E9D5508"/>
    <w:rsid w:val="6EFBF267"/>
    <w:rsid w:val="71EB22B3"/>
    <w:rsid w:val="72010FA6"/>
    <w:rsid w:val="72834520"/>
    <w:rsid w:val="734E594C"/>
    <w:rsid w:val="748A4F72"/>
    <w:rsid w:val="75664078"/>
    <w:rsid w:val="75BF233F"/>
    <w:rsid w:val="761E4132"/>
    <w:rsid w:val="78061A79"/>
    <w:rsid w:val="7BAF00FE"/>
    <w:rsid w:val="7BC003CA"/>
    <w:rsid w:val="7CBF4BB4"/>
    <w:rsid w:val="7E5D346D"/>
    <w:rsid w:val="7E706BD4"/>
    <w:rsid w:val="7EB62219"/>
    <w:rsid w:val="7FDB1E88"/>
  </w:rsids>
  <w:docVars>
    <w:docVar w:name="commondata" w:val="eyJoZGlkIjoiOTc1MTA2MjU3ODgzMDhkMzE0ZTU0MjU4NGU4NDljNDMifQ=="/>
    <w:docVar w:name="KSO_WPS_MARK_KEY" w:val="cef98f2a-0b8d-4a34-a0d1-021798b0dede"/>
  </w:docVar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hAnsi="Times New Roman" w:eastAsiaTheme="minorEastAsia" w:cs="Times New Roman"/>
        <w:lang w:val="en-US" w:eastAsia="zh-CN" w:bidi="ar-SA"/>
      </w:rPr>
    </w:rPrDefault>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9" w:qFormat="1"/>
    <w:lsdException w:name="heading 3" w:semiHidden="0"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lsdException w:name="index 2"/>
    <w:lsdException w:name="index 3"/>
    <w:lsdException w:name="index 4"/>
    <w:lsdException w:name="index 5"/>
    <w:lsdException w:name="index 6"/>
    <w:lsdException w:name="index 7"/>
    <w:lsdException w:name="index 8"/>
    <w:lsdException w:name="index 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Normal Indent"/>
    <w:lsdException w:name="footnote text"/>
    <w:lsdException w:name="annotation text" w:qFormat="1"/>
    <w:lsdException w:name="header" w:semiHidden="0" w:qFormat="1"/>
    <w:lsdException w:name="footer" w:semiHidden="0" w:qFormat="1"/>
    <w:lsdException w:name="index heading"/>
    <w:lsdException w:name="caption" w:uiPriority="35" w:qFormat="1"/>
    <w:lsdException w:name="table of figures"/>
    <w:lsdException w:name="envelope address"/>
    <w:lsdException w:name="envelope return"/>
    <w:lsdException w:name="footnote reference"/>
    <w:lsdException w:name="annotation reference" w:qFormat="1"/>
    <w:lsdException w:name="line number"/>
    <w:lsdException w:name="page number"/>
    <w:lsdException w:name="endnote reference"/>
    <w:lsdException w:name="endnote text"/>
    <w:lsdException w:name="table of authorities"/>
    <w:lsdException w:name="macro"/>
    <w:lsdException w:name="toa heading"/>
    <w:lsdException w:name="List"/>
    <w:lsdException w:name="List Bullet"/>
    <w:lsdException w:name="List Number"/>
    <w:lsdException w:name="List 2"/>
    <w:lsdException w:name="List 3"/>
    <w:lsdException w:name="List 4"/>
    <w:lsdException w:name="List 5"/>
    <w:lsdException w:name="List Bullet 2"/>
    <w:lsdException w:name="List Bullet 3"/>
    <w:lsdException w:name="List Bullet 4"/>
    <w:lsdException w:name="List Bullet 5"/>
    <w:lsdException w:name="List Number 2"/>
    <w:lsdException w:name="List Number 3"/>
    <w:lsdException w:name="List Number 4"/>
    <w:lsdException w:name="List Number 5"/>
    <w:lsdException w:name="Title" w:semiHidden="0" w:uiPriority="10" w:unhideWhenUsed="0" w:qFormat="1"/>
    <w:lsdException w:name="Closing"/>
    <w:lsdException w:name="Signature"/>
    <w:lsdException w:name="Default Paragraph Font" w:uiPriority="1" w:qFormat="1"/>
    <w:lsdException w:name="Body Text" w:semiHidden="0" w:uiPriority="0" w:unhideWhenUsed="0" w:qFormat="1"/>
    <w:lsdException w:name="Body Text Indent"/>
    <w:lsdException w:name="List Continue"/>
    <w:lsdException w:name="List Continue 2"/>
    <w:lsdException w:name="List Continue 3"/>
    <w:lsdException w:name="List Continue 4"/>
    <w:lsdException w:name="List Continue 5"/>
    <w:lsdException w:name="Message Header"/>
    <w:lsdException w:name="Subtitle" w:semiHidden="0" w:uiPriority="11" w:unhideWhenUsed="0" w:qFormat="1"/>
    <w:lsdException w:name="Salutation"/>
    <w:lsdException w:name="Date"/>
    <w:lsdException w:name="Body Text First Indent"/>
    <w:lsdException w:name="Body Text First Indent 2"/>
    <w:lsdException w:name="Note Heading"/>
    <w:lsdException w:name="Body Text 2"/>
    <w:lsdException w:name="Body Text 3"/>
    <w:lsdException w:name="Body Text Indent 2"/>
    <w:lsdException w:name="Body Text Indent 3"/>
    <w:lsdException w:name="Block Text"/>
    <w:lsdException w:name="Hyperlink"/>
    <w:lsdException w:name="FollowedHyperlink"/>
    <w:lsdException w:name="Strong" w:semiHidden="0" w:uiPriority="0" w:unhideWhenUsed="0" w:qFormat="1"/>
    <w:lsdException w:name="Emphasis" w:semiHidden="0" w:uiPriority="20" w:unhideWhenUsed="0" w:qFormat="1"/>
    <w:lsdException w:name="Document Map"/>
    <w:lsdException w:name="Plain Text"/>
    <w:lsdException w:name="E-mail Signature"/>
    <w:lsdException w:name="Normal (Web)"/>
    <w:lsdException w:name="HTML Acronym"/>
    <w:lsdException w:name="HTML Address"/>
    <w:lsdException w:name="HTML Cite"/>
    <w:lsdException w:name="HTML Code"/>
    <w:lsdException w:name="HTML Definition"/>
    <w:lsdException w:name="HTML Keyboard"/>
    <w:lsdException w:name="HTML Preformatted"/>
    <w:lsdException w:name="HTML Sample"/>
    <w:lsdException w:name="HTML Typewriter"/>
    <w:lsdException w:name="HTML Variable"/>
    <w:lsdException w:name="Normal Table" w:qFormat="1"/>
    <w:lsdException w:name="annotation subject" w:qFormat="1"/>
    <w:lsdException w:name="Table Simple 1"/>
    <w:lsdException w:name="Table Simple 2"/>
    <w:lsdException w:name="Table Simple 3"/>
    <w:lsdException w:name="Table Classic 1"/>
    <w:lsdException w:name="Table Classic 2"/>
    <w:lsdException w:name="Table Classic 3"/>
    <w:lsdException w:name="Table Classic 4"/>
    <w:lsdException w:name="Table Colorful 1"/>
    <w:lsdException w:name="Table Colorful 2"/>
    <w:lsdException w:name="Table Colorful 3"/>
    <w:lsdException w:name="Table Columns 1"/>
    <w:lsdException w:name="Table Columns 2"/>
    <w:lsdException w:name="Table Columns 3"/>
    <w:lsdException w:name="Table Columns 4"/>
    <w:lsdException w:name="Table Columns 5"/>
    <w:lsdException w:name="Table Grid 1"/>
    <w:lsdException w:name="Table Grid 2"/>
    <w:lsdException w:name="Table Grid 3"/>
    <w:lsdException w:name="Table Grid 4"/>
    <w:lsdException w:name="Table Grid 5"/>
    <w:lsdException w:name="Table Grid 6"/>
    <w:lsdException w:name="Table Grid 7"/>
    <w:lsdException w:name="Table Grid 8"/>
    <w:lsdException w:name="Table List 1"/>
    <w:lsdException w:name="Table List 2"/>
    <w:lsdException w:name="Table List 3"/>
    <w:lsdException w:name="Table List 4"/>
    <w:lsdException w:name="Table List 5"/>
    <w:lsdException w:name="Table List 6"/>
    <w:lsdException w:name="Table List 7"/>
    <w:lsdException w:name="Table List 8"/>
    <w:lsdException w:name="Table 3D effects 1"/>
    <w:lsdException w:name="Table 3D effects 2"/>
    <w:lsdException w:name="Table 3D effects 3"/>
    <w:lsdException w:name="Table Contemporary"/>
    <w:lsdException w:name="Table Elegant"/>
    <w:lsdException w:name="Table Professional"/>
    <w:lsdException w:name="Table Subtle 1"/>
    <w:lsdException w:name="Table Subtle 2"/>
    <w:lsdException w:name="Table Web 1"/>
    <w:lsdException w:name="Table Web 2"/>
    <w:lsdException w:name="Table Web 3"/>
    <w:lsdException w:name="Balloon Text" w:qFormat="1"/>
    <w:lsdException w:name="Table Grid" w:semiHidden="0" w:uiPriority="59" w:unhideWhenUsed="0" w:qFormat="1"/>
    <w:lsdException w:name="Table Theme"/>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List Paragraph" w:semiHidden="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next w:val="Heading3"/>
    <w:qFormat/>
    <w:pPr>
      <w:widowControl w:val="0"/>
      <w:jc w:val="both"/>
    </w:pPr>
    <w:rPr>
      <w:rFonts w:ascii="Calibri" w:eastAsia="宋体" w:hAnsi="Calibri" w:cs="Arial"/>
      <w:kern w:val="2"/>
      <w:sz w:val="21"/>
      <w:szCs w:val="24"/>
      <w:lang w:val="en-US" w:eastAsia="zh-CN" w:bidi="ar-SA"/>
    </w:rPr>
  </w:style>
  <w:style w:type="paragraph" w:styleId="Heading1">
    <w:name w:val="heading 1"/>
    <w:basedOn w:val="Normal"/>
    <w:next w:val="Normal"/>
    <w:qFormat/>
    <w:pPr>
      <w:keepNext/>
      <w:keepLines/>
      <w:jc w:val="left"/>
      <w:outlineLvl w:val="0"/>
    </w:pPr>
    <w:rPr>
      <w:rFonts w:ascii="宋体" w:eastAsia="黑体" w:hAnsi="宋体"/>
      <w:b/>
      <w:bCs/>
      <w:kern w:val="44"/>
      <w:szCs w:val="44"/>
    </w:rPr>
  </w:style>
  <w:style w:type="paragraph" w:styleId="Heading3">
    <w:name w:val="heading 3"/>
    <w:basedOn w:val="Normal"/>
    <w:next w:val="Normal"/>
    <w:uiPriority w:val="9"/>
    <w:unhideWhenUsed/>
    <w:qFormat/>
    <w:pPr>
      <w:keepNext/>
      <w:keepLines/>
      <w:spacing w:before="260" w:after="260" w:line="416" w:lineRule="auto"/>
      <w:outlineLvl w:val="2"/>
    </w:pPr>
    <w:rPr>
      <w:b/>
      <w:bCs/>
      <w:sz w:val="32"/>
      <w:szCs w:val="32"/>
    </w:rPr>
  </w:style>
  <w:style w:type="character" w:default="1" w:styleId="DefaultParagraphFont">
    <w:name w:val="Default Paragraph Font"/>
    <w:uiPriority w:val="1"/>
    <w:semiHidden/>
    <w:unhideWhenUsed/>
    <w:qFormat/>
  </w:style>
  <w:style w:type="table" w:default="1" w:styleId="TableNormal">
    <w:name w:val="Normal Table"/>
    <w:uiPriority w:val="99"/>
    <w:semiHidden/>
    <w:unhideWhenUsed/>
    <w:qFormat/>
    <w:tblPr>
      <w:tblCellMar>
        <w:top w:w="0" w:type="dxa"/>
        <w:left w:w="108" w:type="dxa"/>
        <w:bottom w:w="0" w:type="dxa"/>
        <w:right w:w="108" w:type="dxa"/>
      </w:tblCellMar>
    </w:tblPr>
  </w:style>
  <w:style w:type="paragraph" w:styleId="CommentText">
    <w:name w:val="annotation text"/>
    <w:basedOn w:val="Normal"/>
    <w:link w:val="a2"/>
    <w:uiPriority w:val="99"/>
    <w:semiHidden/>
    <w:unhideWhenUsed/>
    <w:qFormat/>
    <w:pPr>
      <w:jc w:val="left"/>
    </w:pPr>
  </w:style>
  <w:style w:type="paragraph" w:styleId="BodyText">
    <w:name w:val="Body Text"/>
    <w:basedOn w:val="Normal"/>
    <w:qFormat/>
    <w:pPr>
      <w:spacing w:before="240" w:after="240" w:line="360" w:lineRule="auto"/>
      <w:jc w:val="center"/>
    </w:pPr>
    <w:rPr>
      <w:b/>
      <w:sz w:val="44"/>
    </w:rPr>
  </w:style>
  <w:style w:type="paragraph" w:styleId="BalloonText">
    <w:name w:val="Balloon Text"/>
    <w:basedOn w:val="Normal"/>
    <w:link w:val="a1"/>
    <w:uiPriority w:val="99"/>
    <w:semiHidden/>
    <w:unhideWhenUsed/>
    <w:qFormat/>
    <w:rPr>
      <w:sz w:val="18"/>
      <w:szCs w:val="18"/>
    </w:rPr>
  </w:style>
  <w:style w:type="paragraph" w:styleId="Footer">
    <w:name w:val="footer"/>
    <w:basedOn w:val="Normal"/>
    <w:link w:val="a"/>
    <w:uiPriority w:val="99"/>
    <w:unhideWhenUsed/>
    <w:qFormat/>
    <w:pPr>
      <w:tabs>
        <w:tab w:val="center" w:pos="4153"/>
        <w:tab w:val="right" w:pos="8306"/>
      </w:tabs>
      <w:snapToGrid w:val="0"/>
      <w:jc w:val="left"/>
    </w:pPr>
    <w:rPr>
      <w:sz w:val="18"/>
      <w:szCs w:val="18"/>
    </w:rPr>
  </w:style>
  <w:style w:type="paragraph" w:styleId="Header">
    <w:name w:val="header"/>
    <w:basedOn w:val="Normal"/>
    <w:link w:val="a0"/>
    <w:uiPriority w:val="99"/>
    <w:unhideWhenUsed/>
    <w:qFormat/>
    <w:pPr>
      <w:pBdr>
        <w:bottom w:val="single" w:sz="6" w:space="1" w:color="auto"/>
      </w:pBdr>
      <w:tabs>
        <w:tab w:val="center" w:pos="4153"/>
        <w:tab w:val="right" w:pos="8306"/>
      </w:tabs>
      <w:snapToGrid w:val="0"/>
      <w:jc w:val="center"/>
    </w:pPr>
    <w:rPr>
      <w:sz w:val="18"/>
      <w:szCs w:val="18"/>
    </w:rPr>
  </w:style>
  <w:style w:type="paragraph" w:styleId="CommentSubject">
    <w:name w:val="annotation subject"/>
    <w:basedOn w:val="CommentText"/>
    <w:next w:val="CommentText"/>
    <w:link w:val="a3"/>
    <w:uiPriority w:val="99"/>
    <w:semiHidden/>
    <w:unhideWhenUsed/>
    <w:qFormat/>
    <w:rPr>
      <w:b/>
      <w:bCs/>
    </w:rPr>
  </w:style>
  <w:style w:type="table" w:styleId="TableGrid">
    <w:name w:val="Table Grid"/>
    <w:basedOn w:val="TableNormal"/>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basedOn w:val="DefaultParagraphFont"/>
    <w:qFormat/>
    <w:rPr>
      <w:b/>
      <w:bCs/>
    </w:rPr>
  </w:style>
  <w:style w:type="character" w:styleId="CommentReference">
    <w:name w:val="annotation reference"/>
    <w:basedOn w:val="DefaultParagraphFont"/>
    <w:uiPriority w:val="99"/>
    <w:semiHidden/>
    <w:unhideWhenUsed/>
    <w:qFormat/>
    <w:rPr>
      <w:sz w:val="21"/>
      <w:szCs w:val="21"/>
    </w:rPr>
  </w:style>
  <w:style w:type="paragraph" w:styleId="ListParagraph">
    <w:name w:val="List Paragraph"/>
    <w:basedOn w:val="Normal"/>
    <w:uiPriority w:val="99"/>
    <w:unhideWhenUsed/>
    <w:qFormat/>
    <w:pPr>
      <w:ind w:firstLine="420" w:firstLineChars="200"/>
    </w:pPr>
  </w:style>
  <w:style w:type="character" w:customStyle="1" w:styleId="a">
    <w:name w:val="页脚 字符"/>
    <w:basedOn w:val="DefaultParagraphFont"/>
    <w:link w:val="Footer"/>
    <w:uiPriority w:val="99"/>
    <w:qFormat/>
    <w:rPr>
      <w:sz w:val="18"/>
      <w:szCs w:val="18"/>
    </w:rPr>
  </w:style>
  <w:style w:type="character" w:customStyle="1" w:styleId="a0">
    <w:name w:val="页眉 字符"/>
    <w:basedOn w:val="DefaultParagraphFont"/>
    <w:link w:val="Header"/>
    <w:uiPriority w:val="99"/>
    <w:qFormat/>
    <w:rPr>
      <w:sz w:val="18"/>
      <w:szCs w:val="18"/>
    </w:rPr>
  </w:style>
  <w:style w:type="paragraph" w:customStyle="1" w:styleId="WPSOffice1">
    <w:name w:val="WPSOffice手动目录 1"/>
    <w:qFormat/>
    <w:rPr>
      <w:rFonts w:asciiTheme="minorHAnsi" w:eastAsiaTheme="minorEastAsia" w:hAnsiTheme="minorHAnsi" w:cstheme="minorBidi"/>
      <w:lang w:val="en-US" w:eastAsia="zh-CN" w:bidi="ar-SA"/>
    </w:rPr>
  </w:style>
  <w:style w:type="paragraph" w:customStyle="1" w:styleId="-">
    <w:name w:val="闻政-正文段落文字"/>
    <w:basedOn w:val="Normal"/>
    <w:uiPriority w:val="3"/>
    <w:qFormat/>
    <w:pPr>
      <w:spacing w:line="500" w:lineRule="exact"/>
      <w:ind w:firstLine="200"/>
    </w:pPr>
    <w:rPr>
      <w:rFonts w:ascii="Times New Roman" w:hAnsi="Times New Roman" w:cs="Times New Roman"/>
      <w:kern w:val="0"/>
      <w:szCs w:val="28"/>
    </w:rPr>
  </w:style>
  <w:style w:type="paragraph" w:customStyle="1" w:styleId="1">
    <w:name w:val="列表段落1"/>
    <w:basedOn w:val="Normal"/>
    <w:uiPriority w:val="99"/>
    <w:unhideWhenUsed/>
    <w:qFormat/>
    <w:pPr>
      <w:ind w:firstLine="420"/>
    </w:pPr>
  </w:style>
  <w:style w:type="character" w:customStyle="1" w:styleId="a1">
    <w:name w:val="批注框文本 字符"/>
    <w:basedOn w:val="DefaultParagraphFont"/>
    <w:link w:val="BalloonText"/>
    <w:uiPriority w:val="99"/>
    <w:semiHidden/>
    <w:qFormat/>
    <w:rPr>
      <w:rFonts w:ascii="Calibri" w:eastAsia="宋体" w:hAnsi="Calibri" w:cs="Arial"/>
      <w:kern w:val="2"/>
      <w:sz w:val="18"/>
      <w:szCs w:val="18"/>
    </w:rPr>
  </w:style>
  <w:style w:type="character" w:customStyle="1" w:styleId="a2">
    <w:name w:val="批注文字 字符"/>
    <w:basedOn w:val="DefaultParagraphFont"/>
    <w:link w:val="CommentText"/>
    <w:uiPriority w:val="99"/>
    <w:semiHidden/>
    <w:qFormat/>
    <w:rPr>
      <w:rFonts w:ascii="Calibri" w:eastAsia="宋体" w:hAnsi="Calibri" w:cs="Arial"/>
      <w:kern w:val="2"/>
      <w:sz w:val="21"/>
      <w:szCs w:val="24"/>
    </w:rPr>
  </w:style>
  <w:style w:type="character" w:customStyle="1" w:styleId="a3">
    <w:name w:val="批注主题 字符"/>
    <w:basedOn w:val="a2"/>
    <w:link w:val="CommentSubject"/>
    <w:uiPriority w:val="99"/>
    <w:semiHidden/>
    <w:qFormat/>
    <w:rPr>
      <w:rFonts w:ascii="Calibri" w:eastAsia="宋体" w:hAnsi="Calibri" w:cs="Arial"/>
      <w:b/>
      <w:bCs/>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customXml" Target="../customXml/item2.xml" /><Relationship Id="rId6" Type="http://schemas.openxmlformats.org/officeDocument/2006/relationships/footer" Target="footer1.xml" /><Relationship Id="rId7" Type="http://schemas.openxmlformats.org/officeDocument/2006/relationships/theme" Target="theme/theme1.xml" /><Relationship Id="rId8" Type="http://schemas.openxmlformats.org/officeDocument/2006/relationships/numbering" Target="numbering.xml" /><Relationship Id="rId9" Type="http://schemas.openxmlformats.org/officeDocument/2006/relationships/styles" Target="styles.xml" /></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 /></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05B108B0-C864-401B-81AC-474C6915E6D3}">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17</Pages>
  <Words>7882</Words>
  <Characters>8413</Characters>
  <Application>Microsoft Office Word</Application>
  <DocSecurity>0</DocSecurity>
  <Lines>60</Lines>
  <Paragraphs>17</Paragraphs>
  <ScaleCrop>false</ScaleCrop>
  <Company>市直单位</Company>
  <LinksUpToDate>false</LinksUpToDate>
  <CharactersWithSpaces>8445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lenovo</cp:lastModifiedBy>
  <cp:revision>12</cp:revision>
  <dcterms:created xsi:type="dcterms:W3CDTF">2021-02-24T22:26:00Z</dcterms:created>
  <dcterms:modified xsi:type="dcterms:W3CDTF">2023-02-14T03:39:35Z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5EB4F3A63A054F89A600E2F89ECC41FA_13</vt:lpwstr>
  </property>
  <property fmtid="{D5CDD505-2E9C-101B-9397-08002B2CF9AE}" pid="3" name="KSOProductBuildVer">
    <vt:lpwstr>2052-11.8.2.8555</vt:lpwstr>
  </property>
</Properties>
</file>