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lang w:val="en-US" w:eastAsia="zh-CN"/>
        </w:rPr>
      </w:pPr>
      <w:r>
        <w:rPr>
          <w:rFonts w:ascii="方正小标宋_GBK" w:eastAsia="方正小标宋_GBK" w:hAnsi="方正小标宋_GBK" w:hint="eastAsia"/>
          <w:sz w:val="44"/>
          <w:szCs w:val="44"/>
          <w:highlight w:val="none"/>
          <w:lang w:val="en-US" w:eastAsia="zh-CN"/>
        </w:rPr>
        <w:t xml:space="preserve"> </w:t>
      </w:r>
      <w:bookmarkStart w:id="0" w:name="_GoBack"/>
      <w:bookmarkEnd w:id="0"/>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p>
    <w:p>
      <w:pPr>
        <w:keepNext w:val="0"/>
        <w:keepLines w:val="0"/>
        <w:pageBreakBefore w:val="0"/>
        <w:widowControl w:val="0"/>
        <w:kinsoku/>
        <w:wordWrap/>
        <w:overflowPunct/>
        <w:topLinePunct w:val="0"/>
        <w:adjustRightInd/>
        <w:snapToGrid/>
        <w:spacing w:line="240" w:lineRule="auto"/>
        <w:jc w:val="center"/>
        <w:textAlignment w:val="auto"/>
        <w:rPr>
          <w:rFonts w:ascii="方正小标宋_GBK" w:eastAsia="方正小标宋_GBK" w:hAnsi="方正小标宋_GBK" w:hint="eastAsia"/>
          <w:sz w:val="44"/>
          <w:szCs w:val="44"/>
          <w:highlight w:val="none"/>
        </w:rPr>
      </w:pPr>
      <w:r>
        <w:rPr>
          <w:rFonts w:ascii="方正小标宋_GBK" w:eastAsia="方正小标宋_GBK" w:hAnsi="方正小标宋_GBK" w:hint="eastAsia"/>
          <w:sz w:val="44"/>
          <w:szCs w:val="44"/>
          <w:highlight w:val="none"/>
        </w:rPr>
        <w:t>新疆塔城地区乌苏市人民医院2022年度部门决算公开说明</w:t>
      </w:r>
    </w:p>
    <w:p>
      <w:pPr>
        <w:keepNext w:val="0"/>
        <w:keepLines w:val="0"/>
        <w:pageBreakBefore w:val="0"/>
        <w:widowControl w:val="0"/>
        <w:kinsoku/>
        <w:wordWrap/>
        <w:overflowPunct/>
        <w:topLinePunct w:val="0"/>
        <w:autoSpaceDE/>
        <w:autoSpaceDN/>
        <w:adjustRightInd/>
        <w:snapToGrid/>
        <w:spacing w:line="240" w:lineRule="auto"/>
        <w:ind w:left="0" w:leftChars="0"/>
        <w:jc w:val="center"/>
        <w:textAlignment w:val="auto"/>
        <w:rPr>
          <w:rFonts w:ascii="仿宋_GB2312" w:eastAsia="仿宋_GB2312" w:hAnsi="仿宋_GB2312" w:cs="仿宋_GB2312" w:hint="eastAsia"/>
          <w:b w:val="0"/>
          <w:kern w:val="0"/>
          <w:sz w:val="32"/>
          <w:szCs w:val="32"/>
          <w:highlight w:val="none"/>
        </w:rPr>
      </w:pPr>
      <w:r>
        <w:rPr>
          <w:rFonts w:ascii="方正小标宋_GBK" w:eastAsia="方正小标宋_GBK" w:hAnsi="宋体" w:hint="eastAsia"/>
          <w:sz w:val="44"/>
          <w:szCs w:val="44"/>
          <w:highlight w:val="none"/>
        </w:rPr>
        <w:br w:type="page"/>
      </w:r>
      <w:r>
        <w:rPr>
          <w:rFonts w:ascii="仿宋_GB2312" w:eastAsia="仿宋_GB2312" w:hAnsi="仿宋_GB2312" w:cs="仿宋_GB2312" w:hint="eastAsia"/>
          <w:b/>
          <w:kern w:val="0"/>
          <w:sz w:val="36"/>
          <w:szCs w:val="36"/>
          <w:highlight w:val="none"/>
        </w:rPr>
        <w:t>目 录</w:t>
      </w:r>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TOC \o "1-3" \n \h \u</w:instrText>
      </w:r>
      <w:r>
        <w:rPr>
          <w:rFonts w:ascii="仿宋_GB2312" w:eastAsia="仿宋_GB2312" w:hAnsi="仿宋_GB2312" w:cs="仿宋_GB2312" w:hint="eastAsia"/>
          <w:sz w:val="32"/>
          <w:szCs w:val="32"/>
          <w:highlight w:val="none"/>
        </w:rPr>
        <w:fldChar w:fldCharType="separate"/>
      </w:r>
      <w:hyperlink w:anchor="_Toc32314" w:history="1">
        <w:r>
          <w:rPr>
            <w:rFonts w:ascii="仿宋_GB2312" w:eastAsia="仿宋_GB2312" w:hAnsi="仿宋_GB2312" w:cs="仿宋_GB2312" w:hint="eastAsia"/>
            <w:b/>
            <w:sz w:val="32"/>
            <w:szCs w:val="32"/>
            <w:highlight w:val="none"/>
          </w:rPr>
          <w:t>第一部分 单位概况</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kern w:val="0"/>
            <w:sz w:val="32"/>
            <w:szCs w:val="32"/>
            <w:highlight w:val="none"/>
          </w:rPr>
          <w:t>一、主要职能</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kern w:val="0"/>
            <w:sz w:val="32"/>
            <w:szCs w:val="32"/>
            <w:highlight w:val="none"/>
          </w:rPr>
          <w:t>二、机构设置</w:t>
        </w:r>
        <w:r>
          <w:rPr>
            <w:rFonts w:ascii="仿宋_GB2312" w:eastAsia="仿宋_GB2312" w:hAnsi="仿宋_GB2312" w:cs="仿宋_GB2312" w:hint="eastAsia"/>
            <w:kern w:val="0"/>
            <w:sz w:val="32"/>
            <w:szCs w:val="32"/>
            <w:highlight w:val="none"/>
            <w:lang w:eastAsia="zh-CN"/>
          </w:rPr>
          <w:t>及人员</w:t>
        </w:r>
        <w:r>
          <w:rPr>
            <w:rFonts w:ascii="仿宋_GB2312" w:eastAsia="仿宋_GB2312" w:hAnsi="仿宋_GB2312" w:cs="仿宋_GB2312" w:hint="eastAsia"/>
            <w:kern w:val="0"/>
            <w:sz w:val="32"/>
            <w:szCs w:val="32"/>
            <w:highlight w:val="none"/>
          </w:rPr>
          <w:t>情况</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9374" w:history="1">
        <w:r>
          <w:rPr>
            <w:rFonts w:ascii="仿宋_GB2312" w:eastAsia="仿宋_GB2312" w:hAnsi="仿宋_GB2312" w:cs="仿宋_GB2312" w:hint="eastAsia"/>
            <w:b/>
            <w:sz w:val="32"/>
            <w:szCs w:val="32"/>
            <w:highlight w:val="none"/>
          </w:rPr>
          <w:t>第二部分 部门决算情况说明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kern w:val="0"/>
            <w:sz w:val="32"/>
            <w:szCs w:val="32"/>
            <w:highlight w:val="none"/>
          </w:rPr>
          <w:t>一、收入支出决算总体情况说明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kern w:val="0"/>
            <w:sz w:val="32"/>
            <w:szCs w:val="32"/>
            <w:highlight w:val="none"/>
            <w:lang w:eastAsia="zh-CN"/>
          </w:rPr>
          <w:t>二、</w:t>
        </w:r>
        <w:r>
          <w:rPr>
            <w:rFonts w:ascii="仿宋_GB2312" w:eastAsia="仿宋_GB2312" w:hAnsi="仿宋_GB2312" w:cs="仿宋_GB2312" w:hint="eastAsia"/>
            <w:kern w:val="0"/>
            <w:sz w:val="32"/>
            <w:szCs w:val="32"/>
            <w:highlight w:val="none"/>
          </w:rPr>
          <w:t>收入</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kern w:val="0"/>
            <w:sz w:val="32"/>
            <w:szCs w:val="32"/>
            <w:highlight w:val="none"/>
            <w:lang w:eastAsia="zh-CN"/>
          </w:rPr>
          <w:t>三、支出决算情况说明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kern w:val="0"/>
            <w:sz w:val="32"/>
            <w:szCs w:val="32"/>
            <w:highlight w:val="none"/>
            <w:lang w:eastAsia="zh-CN"/>
          </w:rPr>
          <w:t>四、财政拨款收入支出决算总体情况说明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kern w:val="0"/>
            <w:sz w:val="32"/>
            <w:szCs w:val="32"/>
            <w:highlight w:val="none"/>
            <w:lang w:eastAsia="zh-CN"/>
          </w:rPr>
          <w:t>五、一般公共预算财政拨款支出决算情况说明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kern w:val="0"/>
            <w:sz w:val="32"/>
            <w:szCs w:val="32"/>
            <w:highlight w:val="none"/>
            <w:lang w:eastAsia="zh-CN"/>
          </w:rPr>
          <w:t>六、一般公共预算财政拨款基本支出决算情况说明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kern w:val="0"/>
            <w:sz w:val="32"/>
            <w:szCs w:val="32"/>
            <w:highlight w:val="none"/>
            <w:lang w:eastAsia="zh-CN"/>
          </w:rPr>
          <w:t>七</w:t>
        </w:r>
        <w:r>
          <w:rPr>
            <w:rFonts w:ascii="仿宋_GB2312" w:eastAsia="仿宋_GB2312" w:hAnsi="仿宋_GB2312" w:cs="仿宋_GB2312" w:hint="eastAsia"/>
            <w:kern w:val="0"/>
            <w:sz w:val="32"/>
            <w:szCs w:val="32"/>
            <w:highlight w:val="none"/>
          </w:rPr>
          <w:t>、</w:t>
        </w:r>
        <w:r>
          <w:rPr>
            <w:rFonts w:ascii="仿宋_GB2312" w:eastAsia="仿宋_GB2312" w:hAnsi="仿宋_GB2312" w:cs="仿宋_GB2312" w:hint="eastAsia"/>
            <w:kern w:val="0"/>
            <w:sz w:val="32"/>
            <w:szCs w:val="32"/>
            <w:highlight w:val="none"/>
            <w:lang w:eastAsia="zh-CN"/>
          </w:rPr>
          <w:t>财政拨款</w:t>
        </w:r>
        <w:r>
          <w:rPr>
            <w:rFonts w:ascii="仿宋_GB2312" w:eastAsia="仿宋_GB2312" w:hAnsi="仿宋_GB2312" w:cs="仿宋_GB2312" w:hint="eastAsia"/>
            <w:kern w:val="0"/>
            <w:sz w:val="32"/>
            <w:szCs w:val="32"/>
            <w:highlight w:val="none"/>
          </w:rPr>
          <w:t>“三公”经费支出</w:t>
        </w:r>
        <w:r>
          <w:rPr>
            <w:rFonts w:ascii="仿宋_GB2312" w:eastAsia="仿宋_GB2312" w:hAnsi="仿宋_GB2312" w:cs="仿宋_GB2312" w:hint="eastAsia"/>
            <w:kern w:val="0"/>
            <w:sz w:val="32"/>
            <w:szCs w:val="32"/>
            <w:highlight w:val="none"/>
            <w:lang w:eastAsia="zh-CN"/>
          </w:rPr>
          <w:t>决算</w:t>
        </w:r>
        <w:r>
          <w:rPr>
            <w:rFonts w:ascii="仿宋_GB2312" w:eastAsia="仿宋_GB2312" w:hAnsi="仿宋_GB2312" w:cs="仿宋_GB2312" w:hint="eastAsia"/>
            <w:kern w:val="0"/>
            <w:sz w:val="32"/>
            <w:szCs w:val="32"/>
            <w:highlight w:val="none"/>
          </w:rPr>
          <w:t>情况</w:t>
        </w:r>
        <w:r>
          <w:rPr>
            <w:rFonts w:ascii="仿宋_GB2312" w:eastAsia="仿宋_GB2312" w:hAnsi="仿宋_GB2312" w:cs="仿宋_GB2312" w:hint="eastAsia"/>
            <w:kern w:val="0"/>
            <w:sz w:val="32"/>
            <w:szCs w:val="32"/>
            <w:highlight w:val="none"/>
            <w:lang w:eastAsia="zh-CN"/>
          </w:rPr>
          <w:t>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八、政府性基金预算财政拨款收入支出决算情况说明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kern w:val="0"/>
            <w:sz w:val="32"/>
            <w:szCs w:val="32"/>
            <w:highlight w:val="none"/>
            <w:lang w:eastAsia="zh-CN"/>
          </w:rPr>
          <w:t>九、国有资本经营预算财政拨款收入支出决算情况说明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kern w:val="0"/>
            <w:sz w:val="32"/>
            <w:szCs w:val="32"/>
            <w:highlight w:val="none"/>
            <w:lang w:eastAsia="zh-CN"/>
          </w:rPr>
          <w:t>十</w:t>
        </w:r>
        <w:r>
          <w:rPr>
            <w:rFonts w:ascii="仿宋_GB2312" w:eastAsia="仿宋_GB2312" w:hAnsi="仿宋_GB2312" w:cs="仿宋_GB2312" w:hint="eastAsia"/>
            <w:kern w:val="0"/>
            <w:sz w:val="32"/>
            <w:szCs w:val="32"/>
            <w:highlight w:val="none"/>
          </w:rPr>
          <w:t>、其他重要事项的情况</w:t>
        </w:r>
        <w:r>
          <w:rPr>
            <w:rFonts w:ascii="仿宋_GB2312" w:eastAsia="仿宋_GB2312" w:hAnsi="仿宋_GB2312" w:cs="仿宋_GB2312" w:hint="eastAsia"/>
            <w:kern w:val="0"/>
            <w:sz w:val="32"/>
            <w:szCs w:val="32"/>
            <w:highlight w:val="none"/>
            <w:lang w:eastAsia="zh-CN"/>
          </w:rPr>
          <w:t>说明</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highlight w:val="none"/>
            <w:lang w:eastAsia="zh-CN"/>
          </w:rPr>
          <w:t>（一）</w:t>
        </w:r>
        <w:r>
          <w:rPr>
            <w:rFonts w:ascii="仿宋_GB2312" w:eastAsia="仿宋_GB2312" w:hAnsi="仿宋_GB2312" w:cs="仿宋_GB2312" w:hint="eastAsia"/>
            <w:sz w:val="32"/>
            <w:szCs w:val="32"/>
            <w:highlight w:val="none"/>
          </w:rPr>
          <w:t>机关运行经费支出情况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highlight w:val="none"/>
            <w:lang w:eastAsia="zh-CN"/>
          </w:rPr>
          <w:t>（二）政府采购情况</w:t>
        </w:r>
      </w:hyperlink>
    </w:p>
    <w:p>
      <w:pPr>
        <w:pStyle w:val="TOC3"/>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highlight w:val="none"/>
            <w:lang w:eastAsia="zh-CN"/>
          </w:rPr>
          <w:t>（三）国有资产占用情况说明</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kern w:val="0"/>
            <w:sz w:val="32"/>
            <w:szCs w:val="32"/>
            <w:highlight w:val="none"/>
            <w:lang w:eastAsia="zh-CN"/>
          </w:rPr>
          <w:t>十一、预算绩效的情况说明</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3250" w:history="1">
        <w:r>
          <w:rPr>
            <w:rFonts w:ascii="仿宋_GB2312" w:eastAsia="仿宋_GB2312" w:hAnsi="仿宋_GB2312" w:cs="仿宋_GB2312" w:hint="eastAsia"/>
            <w:b/>
            <w:sz w:val="32"/>
            <w:szCs w:val="32"/>
            <w:highlight w:val="none"/>
          </w:rPr>
          <w:t>第三部分 专业名词解释</w:t>
        </w:r>
      </w:hyperlink>
    </w:p>
    <w:p>
      <w:pPr>
        <w:pStyle w:val="TOC1"/>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b/>
          <w:sz w:val="32"/>
          <w:szCs w:val="32"/>
        </w:rPr>
      </w:pPr>
      <w:hyperlink w:anchor="_Toc22784" w:history="1">
        <w:r>
          <w:rPr>
            <w:rFonts w:ascii="仿宋_GB2312" w:eastAsia="仿宋_GB2312" w:hAnsi="仿宋_GB2312" w:cs="仿宋_GB2312" w:hint="eastAsia"/>
            <w:b/>
            <w:sz w:val="32"/>
            <w:szCs w:val="32"/>
            <w:highlight w:val="none"/>
          </w:rPr>
          <w:t>第四部分 部门决算报表（见附表）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kern w:val="0"/>
            <w:sz w:val="32"/>
            <w:szCs w:val="32"/>
            <w:highlight w:val="none"/>
          </w:rPr>
          <w:t>一、《收入支出决算总表》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kern w:val="0"/>
            <w:sz w:val="32"/>
            <w:szCs w:val="32"/>
            <w:highlight w:val="none"/>
          </w:rPr>
          <w:t>二、《收入决算表》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kern w:val="0"/>
            <w:sz w:val="32"/>
            <w:szCs w:val="32"/>
            <w:highlight w:val="none"/>
          </w:rPr>
          <w:t>三、《支出决算表》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kern w:val="0"/>
            <w:sz w:val="32"/>
            <w:szCs w:val="32"/>
            <w:highlight w:val="none"/>
          </w:rPr>
          <w:t>四、《财政拨款收入支出决算总表》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kern w:val="0"/>
            <w:sz w:val="32"/>
            <w:szCs w:val="32"/>
            <w:highlight w:val="none"/>
          </w:rPr>
          <w:t>五、《一般公共预算财政拨款支出决算表》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kern w:val="0"/>
            <w:sz w:val="32"/>
            <w:szCs w:val="32"/>
            <w:highlight w:val="none"/>
          </w:rPr>
          <w:t>六、《一般公共预算财政拨款基本支出决算表》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kern w:val="0"/>
            <w:sz w:val="32"/>
            <w:szCs w:val="32"/>
            <w:highlight w:val="none"/>
          </w:rPr>
          <w:t>七、《财政拨款“三公”经费支出决算表》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八、《政府性基金预算财政拨款收入支出决算表》</w:t>
        </w:r>
      </w:hyperlink>
    </w:p>
    <w:p>
      <w:pPr>
        <w:pStyle w:val="TOC2"/>
        <w:keepNext w:val="0"/>
        <w:keepLines w:val="0"/>
        <w:pageBreakBefore w:val="0"/>
        <w:widowControl w:val="0"/>
        <w:tabs>
          <w:tab w:val="right" w:pos="8306"/>
        </w:tabs>
        <w:kinsoku/>
        <w:wordWrap/>
        <w:overflowPunct/>
        <w:topLinePunct w:val="0"/>
        <w:autoSpaceDE/>
        <w:autoSpaceDN/>
        <w:adjustRightInd/>
        <w:snapToGrid/>
        <w:ind w:left="0" w:leftChars="0"/>
        <w:textAlignment w:val="auto"/>
        <w:rPr>
          <w:rFonts w:ascii="仿宋_GB2312" w:eastAsia="仿宋_GB2312" w:hAnsi="仿宋_GB2312" w:cs="仿宋_GB2312" w:hint="eastAsia"/>
          <w:sz w:val="32"/>
          <w:szCs w:val="32"/>
        </w:rPr>
      </w:pPr>
      <w:hyperlink w:anchor="_Toc7643" w:history="1">
        <w:r>
          <w:rPr>
            <w:rFonts w:ascii="仿宋_GB2312" w:eastAsia="仿宋_GB2312" w:hAnsi="仿宋_GB2312" w:cs="仿宋_GB2312" w:hint="eastAsia"/>
            <w:kern w:val="0"/>
            <w:sz w:val="32"/>
            <w:szCs w:val="32"/>
            <w:highlight w:val="none"/>
          </w:rPr>
          <w:t>九、《国有资本经营预算财政拨款收入支出决算表》</w:t>
        </w:r>
      </w:hyperlink>
    </w:p>
    <w:p>
      <w:pPr>
        <w:keepNext w:val="0"/>
        <w:keepLines w:val="0"/>
        <w:pageBreakBefore w:val="0"/>
        <w:widowControl w:val="0"/>
        <w:kinsoku/>
        <w:wordWrap/>
        <w:overflowPunct/>
        <w:topLinePunct w:val="0"/>
        <w:autoSpaceDE/>
        <w:autoSpaceDN/>
        <w:adjustRightInd/>
        <w:snapToGrid/>
        <w:ind w:left="0" w:leftChars="0"/>
        <w:jc w:val="both"/>
        <w:textAlignment w:val="auto"/>
        <w:rPr>
          <w:highlight w:val="none"/>
        </w:rPr>
      </w:pPr>
      <w:r>
        <w:rPr>
          <w:rFonts w:ascii="仿宋_GB2312" w:eastAsia="仿宋_GB2312" w:hAnsi="仿宋_GB2312" w:cs="仿宋_GB2312" w:hint="eastAsia"/>
          <w:sz w:val="32"/>
          <w:szCs w:val="32"/>
          <w:highlight w:val="none"/>
        </w:rPr>
        <w:fldChar w:fldCharType="end"/>
      </w:r>
    </w:p>
    <w:p>
      <w:pPr>
        <w:keepNext w:val="0"/>
        <w:keepLines w:val="0"/>
        <w:pageBreakBefore w:val="0"/>
        <w:widowControl w:val="0"/>
        <w:kinsoku/>
        <w:wordWrap/>
        <w:overflowPunct/>
        <w:topLinePunct w:val="0"/>
        <w:autoSpaceDE/>
        <w:autoSpaceDN/>
        <w:adjustRightInd/>
        <w:snapToGrid/>
        <w:spacing w:line="240" w:lineRule="auto"/>
        <w:ind w:firstLine="640" w:firstLineChars="200"/>
        <w:jc w:val="center"/>
        <w:textAlignment w:val="auto"/>
        <w:outlineLvl w:val="0"/>
        <w:rPr>
          <w:rFonts w:ascii="黑体" w:eastAsia="黑体" w:hAnsi="黑体" w:hint="eastAsia"/>
          <w:sz w:val="32"/>
          <w:szCs w:val="32"/>
          <w:highlight w:val="none"/>
        </w:rPr>
      </w:pPr>
      <w:r>
        <w:rPr>
          <w:rFonts w:ascii="仿宋_GB2312" w:eastAsia="仿宋_GB2312" w:hint="eastAsia"/>
          <w:sz w:val="32"/>
          <w:szCs w:val="32"/>
          <w:highlight w:val="none"/>
        </w:rPr>
        <w:br w:type="page"/>
      </w:r>
      <w:bookmarkStart w:id="1" w:name="_Toc32314"/>
      <w:bookmarkStart w:id="2" w:name="_Toc24028"/>
      <w:r>
        <w:rPr>
          <w:rFonts w:ascii="黑体" w:eastAsia="黑体" w:hAnsi="黑体" w:hint="eastAsia"/>
          <w:sz w:val="32"/>
          <w:szCs w:val="32"/>
          <w:highlight w:val="none"/>
        </w:rPr>
        <w:t>第一部分 单位概况</w:t>
      </w:r>
      <w:bookmarkEnd w:id="1"/>
      <w:bookmarkEnd w:id="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default"/>
          <w:kern w:val="0"/>
          <w:sz w:val="32"/>
          <w:szCs w:val="32"/>
          <w:highlight w:val="none"/>
        </w:rPr>
      </w:pPr>
      <w:bookmarkStart w:id="3" w:name="_Toc30738"/>
      <w:bookmarkStart w:id="4" w:name="_Toc30567"/>
      <w:r>
        <w:rPr>
          <w:rFonts w:ascii="黑体" w:eastAsia="黑体" w:hAnsi="黑体" w:cs="宋体" w:hint="eastAsia"/>
          <w:kern w:val="0"/>
          <w:sz w:val="32"/>
          <w:szCs w:val="32"/>
          <w:highlight w:val="none"/>
        </w:rPr>
        <w:t>一、主要职能</w:t>
      </w:r>
      <w:bookmarkEnd w:id="3"/>
      <w:bookmarkEnd w:id="4"/>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乌苏市人民医院创建于1940年，位于乌苏市和田河路，占地面积3.6万平方米，业务用房面积4万平方米，是一所集医疗、教学、科研、预防、保健为一体的综合二级甲等医院、爱婴医院、公立医院，也是城镇职工基本医疗保险、城乡居民医疗保险、商业医疗保险等定点医院，承担着辖区内36.5万人口、本地23万各族群众的基本医疗、预防保健、突发公共卫生、急危重症抢救、各类传染疾病的防治等公益医疗卫生的任务。</w:t>
      </w:r>
      <w:r>
        <w:rPr>
          <w:rFonts w:ascii="仿宋_GB2312" w:eastAsia="仿宋_GB2312" w:hint="eastAsia"/>
          <w:sz w:val="32"/>
          <w:szCs w:val="32"/>
          <w:highlight w:val="none"/>
        </w:rPr>
        <w:br/>
      </w:r>
      <w:r>
        <w:rPr>
          <w:rFonts w:ascii="仿宋_GB2312" w:eastAsia="仿宋_GB2312" w:hint="eastAsia"/>
          <w:sz w:val="32"/>
          <w:szCs w:val="32"/>
          <w:highlight w:val="none"/>
        </w:rPr>
        <w:t>　　2022年门诊量275143人次（其中120急救年出诊2.6万人次），体检14505人次，住院16055人次，开展手术9735余例，抢救各类急、危、重症病人6942人次，抢救成功率89.72%，病床使用率65.59%，平均住院日7.52天。</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 w:name="_Toc31238"/>
      <w:bookmarkStart w:id="6" w:name="_Toc2151"/>
      <w:r>
        <w:rPr>
          <w:rFonts w:ascii="黑体" w:eastAsia="黑体" w:hAnsi="黑体" w:cs="宋体" w:hint="eastAsia"/>
          <w:kern w:val="0"/>
          <w:sz w:val="32"/>
          <w:szCs w:val="32"/>
          <w:highlight w:val="none"/>
        </w:rPr>
        <w:t>二、机构设置</w:t>
      </w:r>
      <w:r>
        <w:rPr>
          <w:rFonts w:ascii="黑体" w:eastAsia="黑体" w:hAnsi="黑体" w:cs="宋体" w:hint="eastAsia"/>
          <w:kern w:val="0"/>
          <w:sz w:val="32"/>
          <w:szCs w:val="32"/>
          <w:highlight w:val="none"/>
          <w:lang w:eastAsia="zh-CN"/>
        </w:rPr>
        <w:t>及</w:t>
      </w:r>
      <w:bookmarkEnd w:id="5"/>
      <w:r>
        <w:rPr>
          <w:rFonts w:ascii="黑体" w:eastAsia="黑体" w:hAnsi="黑体" w:cs="宋体" w:hint="eastAsia"/>
          <w:kern w:val="0"/>
          <w:sz w:val="32"/>
          <w:szCs w:val="32"/>
          <w:highlight w:val="none"/>
          <w:lang w:eastAsia="zh-CN"/>
        </w:rPr>
        <w:t>人员</w:t>
      </w:r>
      <w:r>
        <w:rPr>
          <w:rFonts w:ascii="黑体" w:eastAsia="黑体" w:hAnsi="黑体" w:cs="宋体" w:hint="eastAsia"/>
          <w:kern w:val="0"/>
          <w:sz w:val="32"/>
          <w:szCs w:val="32"/>
          <w:highlight w:val="none"/>
        </w:rPr>
        <w:t>情况</w:t>
      </w:r>
      <w:bookmarkEnd w:id="6"/>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rPr>
      </w:pPr>
      <w:r>
        <w:rPr>
          <w:rFonts w:ascii="仿宋_GB2312" w:eastAsia="仿宋_GB2312" w:hint="eastAsia"/>
          <w:sz w:val="32"/>
          <w:szCs w:val="32"/>
          <w:highlight w:val="none"/>
        </w:rPr>
        <w:t>新疆塔城地区乌苏市人民医院2022年度，实有人数611人，其中：在职人员422人，离休人员4人，退休人员185人。</w:t>
      </w:r>
    </w:p>
    <w:p>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从部门决算单位构成看，新疆塔城地区乌苏市人民医院部门决算包括：新疆塔城地区乌苏市人民医院决算。单位无下属预算单位，下设48个处室，分别是：行政办、财务科、院党政办、司机班、供应室、口腔科、功能科、检验科、病理科、介入科、急诊科、五官科、纪检监察室、呼吸内科、心内科、神内科、骨科、普外科、妇产科、手麻科、儿科、一门诊、医学康复科、药剂科、院感办、质控办、中医科、物价办、护理部、信息科、感染科、总务科、神外科、人力资源科、医务科、重症医学科、消化肾病科、体检科、影像科、设备科、血液透析室、日间手术肛肠科、全科医学科、公共卫生科、社会公共事务部、资产科、皮肤科、发热门诊。</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7" w:name="_Toc29374"/>
      <w:bookmarkStart w:id="8" w:name="_Toc3092"/>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第二部分 部门决算情况说明</w:t>
      </w:r>
      <w:bookmarkEnd w:id="7"/>
      <w:bookmarkEnd w:id="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9" w:name="_Toc25314"/>
      <w:bookmarkStart w:id="10" w:name="_Toc12566"/>
      <w:r>
        <w:rPr>
          <w:rFonts w:ascii="黑体" w:eastAsia="黑体" w:hAnsi="黑体" w:cs="宋体" w:hint="eastAsia"/>
          <w:kern w:val="0"/>
          <w:sz w:val="32"/>
          <w:szCs w:val="32"/>
          <w:highlight w:val="none"/>
        </w:rPr>
        <w:t>一、收入支出决算总体情况说明</w:t>
      </w:r>
      <w:bookmarkEnd w:id="9"/>
      <w:bookmarkEnd w:id="10"/>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收入总计35,755.91万元</w:t>
      </w:r>
      <w:r>
        <w:rPr>
          <w:rFonts w:ascii="仿宋_GB2312" w:eastAsia="仿宋_GB2312" w:hint="eastAsia"/>
          <w:sz w:val="32"/>
          <w:szCs w:val="32"/>
          <w:highlight w:val="none"/>
          <w:lang w:eastAsia="zh-CN"/>
        </w:rPr>
        <w:t>，其中：本年收入合计35,755.91万元，使用非财政拨款结余0.00万元，年初结转和结余0.00万元。</w:t>
      </w:r>
      <w:r>
        <w:rPr>
          <w:rFonts w:ascii="仿宋_GB2312" w:eastAsia="仿宋_GB2312" w:hint="eastAsia"/>
          <w:sz w:val="32"/>
          <w:szCs w:val="32"/>
          <w:highlight w:val="none"/>
        </w:rPr>
        <w:t>收入总计与上年相比</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增加6,604.35万元，增长22.66%</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w:t>
      </w:r>
      <w:r>
        <w:rPr>
          <w:rFonts w:ascii="仿宋_GB2312" w:eastAsia="仿宋_GB2312" w:hint="eastAsia"/>
          <w:sz w:val="32"/>
          <w:szCs w:val="32"/>
          <w:highlight w:val="none"/>
          <w:lang w:val="en-US" w:eastAsia="zh-CN"/>
        </w:rPr>
        <w:t>1、2022年补发2020年大绩效、13个月工资、补发基础性绩效、基本工资、2021年13个月工资、调标工资及绩效奖励金等支出。2、</w:t>
      </w:r>
      <w:r>
        <w:rPr>
          <w:rFonts w:ascii="仿宋_GB2312" w:eastAsia="仿宋_GB2312" w:hint="eastAsia"/>
          <w:sz w:val="32"/>
          <w:szCs w:val="32"/>
          <w:highlight w:val="none"/>
        </w:rPr>
        <w:t>新增地方性政府债券资金用于综合病房楼、战时急救及地下人掩库房工程、规范化培训基地及消毒供应中心建设项目。</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本年支出总计35,755.91万元</w:t>
      </w:r>
      <w:r>
        <w:rPr>
          <w:rFonts w:ascii="仿宋_GB2312" w:eastAsia="仿宋_GB2312" w:hint="eastAsia"/>
          <w:sz w:val="32"/>
          <w:szCs w:val="32"/>
          <w:highlight w:val="none"/>
          <w:lang w:eastAsia="zh-CN"/>
        </w:rPr>
        <w:t>，其中：本年支出合计35,746.03万元，结余分配9.88万元，年末结转和结余0.00万元。</w:t>
      </w:r>
      <w:r>
        <w:rPr>
          <w:rFonts w:ascii="仿宋_GB2312" w:eastAsia="仿宋_GB2312" w:hint="eastAsia"/>
          <w:sz w:val="32"/>
          <w:szCs w:val="32"/>
          <w:highlight w:val="none"/>
        </w:rPr>
        <w:t>支出总计与上年相比</w:t>
      </w:r>
      <w:r>
        <w:rPr>
          <w:rFonts w:ascii="仿宋_GB2312" w:eastAsia="仿宋_GB2312" w:hint="eastAsia"/>
          <w:sz w:val="32"/>
          <w:szCs w:val="32"/>
          <w:highlight w:val="none"/>
          <w:lang w:eastAsia="zh-CN"/>
        </w:rPr>
        <w:t>，增加6,604.35万元，增长22.66%，主要原因是</w:t>
      </w:r>
      <w:r>
        <w:rPr>
          <w:rFonts w:ascii="仿宋_GB2312" w:eastAsia="仿宋_GB2312" w:hint="eastAsia"/>
          <w:sz w:val="32"/>
          <w:szCs w:val="32"/>
          <w:highlight w:val="none"/>
        </w:rPr>
        <w:t>：2022年8-12月疫情防控购置专业设备及卫生材料支出较大</w:t>
      </w:r>
      <w:r>
        <w:rPr>
          <w:rFonts w:ascii="仿宋_GB2312" w:eastAsia="仿宋_GB2312" w:hint="eastAsia"/>
          <w:sz w:val="32"/>
          <w:szCs w:val="32"/>
          <w:highlight w:val="none"/>
          <w:lang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11" w:name="_Toc12142"/>
      <w:bookmarkStart w:id="12" w:name="_Toc1979"/>
      <w:r>
        <w:rPr>
          <w:rFonts w:ascii="黑体" w:eastAsia="黑体" w:hAnsi="黑体" w:cs="宋体" w:hint="eastAsia"/>
          <w:kern w:val="0"/>
          <w:sz w:val="32"/>
          <w:szCs w:val="32"/>
          <w:highlight w:val="none"/>
          <w:lang w:eastAsia="zh-CN"/>
        </w:rPr>
        <w:t>二、</w:t>
      </w:r>
      <w:r>
        <w:rPr>
          <w:rFonts w:ascii="黑体" w:eastAsia="黑体" w:hAnsi="黑体" w:cs="宋体" w:hint="eastAsia"/>
          <w:kern w:val="0"/>
          <w:sz w:val="32"/>
          <w:szCs w:val="32"/>
          <w:highlight w:val="none"/>
        </w:rPr>
        <w:t>收入</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情况说明</w:t>
      </w:r>
      <w:bookmarkEnd w:id="11"/>
      <w:bookmarkEnd w:id="12"/>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收入35,755.91万元，其中：财政拨款收入15,338.50万元，占42.90%；上级补助收入0.00万元，占0.00%；事业收入20,379.48万元，占57.00%；经营收入0.00万元，占0.00%；附属单位上缴收入0.00万元，占0.00%；其他收入37.93万元，占0.11%。</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3" w:name="_Toc27961"/>
      <w:bookmarkStart w:id="14" w:name="_Toc13201"/>
      <w:r>
        <w:rPr>
          <w:rFonts w:ascii="黑体" w:eastAsia="黑体" w:hAnsi="黑体" w:cs="宋体" w:hint="eastAsia"/>
          <w:kern w:val="0"/>
          <w:sz w:val="32"/>
          <w:szCs w:val="32"/>
          <w:highlight w:val="none"/>
          <w:lang w:eastAsia="zh-CN"/>
        </w:rPr>
        <w:t>三、支出决算情况说明</w:t>
      </w:r>
      <w:bookmarkEnd w:id="13"/>
      <w:bookmarkEnd w:id="14"/>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本年支出35,746.03万元，其中：基本支出25,735.80万元，占72.00%；项目支出10,010.23万元，占28.00%；上缴上级支出0.00万元，占0.00%；经营支出0.00万元，占0.00%；对附属单位补助支出0.00万元，占0.00%。</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5" w:name="_Toc4393"/>
      <w:bookmarkStart w:id="16" w:name="_Toc26564"/>
      <w:r>
        <w:rPr>
          <w:rFonts w:ascii="黑体" w:eastAsia="黑体" w:hAnsi="黑体" w:cs="宋体" w:hint="eastAsia"/>
          <w:kern w:val="0"/>
          <w:sz w:val="32"/>
          <w:szCs w:val="32"/>
          <w:highlight w:val="none"/>
          <w:lang w:eastAsia="zh-CN"/>
        </w:rPr>
        <w:t>四、财政拨款收入支出决算总体情况说明</w:t>
      </w:r>
      <w:bookmarkEnd w:id="15"/>
      <w:bookmarkEnd w:id="1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财政拨款收入总计15,338.50万元，其中：年初财政拨款结转和结余0.00万元，财政拨款本年收入15,338.50万元。财政拨款收入总计与上年相比，增加7,381.45万元，增长</w:t>
      </w:r>
      <w:r>
        <w:rPr>
          <w:rFonts w:ascii="仿宋_GB2312" w:eastAsia="仿宋_GB2312" w:hint="eastAsia"/>
          <w:sz w:val="32"/>
          <w:szCs w:val="32"/>
          <w:highlight w:val="none"/>
          <w:lang w:val="en-US" w:eastAsia="zh-CN"/>
        </w:rPr>
        <w:t>92.77</w:t>
      </w:r>
      <w:r>
        <w:rPr>
          <w:rFonts w:ascii="仿宋_GB2312" w:eastAsia="仿宋_GB2312" w:hint="eastAsia"/>
          <w:sz w:val="32"/>
          <w:szCs w:val="32"/>
          <w:highlight w:val="none"/>
        </w:rPr>
        <w:t>%，</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2022年补发在职人员基础性绩效奖、补发基本工资、绩效奖励金</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新增地方性政府债券资金用于综合病房楼、战时急救及地下人掩库房工程、规范化培训基地及消毒供应中心建设项目。</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财政拨款支出总计15,338.50万元，其中：年末财政拨款结转和结余0.00万元，财政拨款本年支出15,338.50万元。财政拨款支出总计与上年相比，增加7,381.45万元，增长92.77%，</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rPr>
        <w:t>2022年补发在职人员基础性绩效奖、补发基本工资、绩效奖励金</w:t>
      </w:r>
      <w:r>
        <w:rPr>
          <w:rFonts w:ascii="仿宋_GB2312" w:eastAsia="仿宋_GB2312" w:hint="eastAsia"/>
          <w:sz w:val="32"/>
          <w:szCs w:val="32"/>
          <w:highlight w:val="none"/>
          <w:lang w:eastAsia="zh-CN"/>
        </w:rPr>
        <w:t>；</w:t>
      </w:r>
      <w:r>
        <w:rPr>
          <w:rFonts w:ascii="仿宋_GB2312" w:eastAsia="仿宋_GB2312" w:hint="eastAsia"/>
          <w:sz w:val="32"/>
          <w:szCs w:val="32"/>
          <w:highlight w:val="none"/>
        </w:rPr>
        <w:t>新增地方性政府债券资金用于综合病房楼、战时急救及地下人掩库房工程、规范化培训基地及消毒供应中心建设项目。</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red"/>
        </w:rPr>
      </w:pPr>
      <w:r>
        <w:rPr>
          <w:rFonts w:ascii="仿宋_GB2312" w:eastAsia="仿宋_GB2312" w:hint="eastAsia"/>
          <w:sz w:val="32"/>
          <w:szCs w:val="32"/>
          <w:highlight w:val="none"/>
        </w:rPr>
        <w:t>与年初预算数相比情况：财政拨款收入总计年初预算数5,328.27万元，决算数15,338.50万元，预决算差异率187.87%，</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lang w:val="en-US" w:eastAsia="zh-CN"/>
        </w:rPr>
        <w:t>本年</w:t>
      </w:r>
      <w:r>
        <w:rPr>
          <w:rFonts w:ascii="仿宋_GB2312" w:eastAsia="仿宋_GB2312" w:hint="eastAsia"/>
          <w:sz w:val="32"/>
          <w:szCs w:val="32"/>
          <w:highlight w:val="none"/>
        </w:rPr>
        <w:t>新增地方性政府债券资金用于综合病房楼、战时急救及地下人掩库房工程、规范化培训基地及消毒供应中心建设项目。财政拨款支出总计年初预算数5,328.27万元，决算数15,338.50万元，预决算差异率187.87%，</w:t>
      </w:r>
      <w:r>
        <w:rPr>
          <w:rFonts w:ascii="仿宋_GB2312" w:eastAsia="仿宋_GB2312" w:hint="eastAsia"/>
          <w:sz w:val="32"/>
          <w:szCs w:val="32"/>
          <w:highlight w:val="none"/>
          <w:lang w:eastAsia="zh-CN"/>
        </w:rPr>
        <w:t>主要原因是：</w:t>
      </w:r>
      <w:r>
        <w:rPr>
          <w:rFonts w:ascii="仿宋_GB2312" w:eastAsia="仿宋_GB2312" w:hint="eastAsia"/>
          <w:sz w:val="32"/>
          <w:szCs w:val="32"/>
          <w:highlight w:val="none"/>
          <w:lang w:val="en-US" w:eastAsia="zh-CN"/>
        </w:rPr>
        <w:t>本年</w:t>
      </w:r>
      <w:r>
        <w:rPr>
          <w:rFonts w:ascii="仿宋_GB2312" w:eastAsia="仿宋_GB2312" w:hint="eastAsia"/>
          <w:sz w:val="32"/>
          <w:szCs w:val="32"/>
          <w:highlight w:val="none"/>
        </w:rPr>
        <w:t>新增地方性政府债券资金用于综合病房楼、战时急救及地下人掩库房工程、规范化培训基地及消毒供应中心建设项目。</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7" w:name="_Toc13833"/>
      <w:bookmarkStart w:id="18" w:name="_Toc20360"/>
      <w:r>
        <w:rPr>
          <w:rFonts w:ascii="黑体" w:eastAsia="黑体" w:hAnsi="黑体" w:cs="宋体" w:hint="eastAsia"/>
          <w:kern w:val="0"/>
          <w:sz w:val="32"/>
          <w:szCs w:val="32"/>
          <w:highlight w:val="none"/>
          <w:lang w:eastAsia="zh-CN"/>
        </w:rPr>
        <w:t>五、一般公共预算财政拨款支出决算情况说明</w:t>
      </w:r>
      <w:bookmarkEnd w:id="17"/>
      <w:bookmarkEnd w:id="1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（一）一般公共预算财政拨款支出决算总体情况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default"/>
          <w:sz w:val="32"/>
          <w:szCs w:val="32"/>
          <w:highlight w:val="none"/>
          <w:lang w:val="en-US" w:eastAsia="zh-CN"/>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一般公共预算财政拨款支出6,364.56万元，占本年支出合计的17.80%，与上年相比，增加2,408.17万元，增长60.87%，主要原因是：2022年补发在职人员基础性绩效奖、补发基本工资、绩效奖励金</w:t>
      </w:r>
      <w:r>
        <w:rPr>
          <w:rFonts w:ascii="仿宋_GB2312" w:eastAsia="仿宋_GB2312" w:hint="eastAsia"/>
          <w:sz w:val="32"/>
          <w:szCs w:val="32"/>
          <w:highlight w:val="none"/>
          <w:lang w:eastAsia="zh-CN"/>
        </w:rPr>
        <w:t>、</w:t>
      </w:r>
      <w:r>
        <w:rPr>
          <w:rFonts w:ascii="仿宋_GB2312" w:eastAsia="仿宋_GB2312" w:hint="eastAsia"/>
          <w:sz w:val="32"/>
          <w:szCs w:val="32"/>
          <w:highlight w:val="none"/>
          <w:lang w:val="en-US" w:eastAsia="zh-CN"/>
        </w:rPr>
        <w:t>2020年大绩效等支出。</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（二）一般公共预算财政拨款支出决算结构情况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1.社会保障和就业支出（类）689.37万元，占10.83%。</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2.卫生健康支出（类）5,383.06万元，占84.58%。</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3.农林水支出（类）1.65万元，占0.03%。</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4.住房保障支出（类）270.57万元，占4.25%。</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5.其他支出（类）19.91万元，占0.31%。</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（三）一般公共预算财政拨款支出决算具体情况</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社会保障和就业支出（类）行政事业单位养老支出（款）事业单位离退休（项）：支出决算数为124.89万元，比上年决算增加76.18万元，增长37.89%，主要原因是：2022年补发离休人员基础性绩效及工资、发放退休人员冬碳费、补发退休人员基础性绩效奖支出。</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社会保障和就业支出（类）行政事业单位养老支出（款）机关事业单位基本养老保险缴费支出（项）：支出决算数为376.32万元，比上年决算增加6.30万元，增长1.71%，主要原因是：2022年在职人员调资增资，故缴纳社保五金基数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3.社会保障和就业支出（类）行政事业单位养老支出（款）机关事业单位职业年金缴费支出（项）：支出决算数为188.16万元，比上年决算增加3.15万元，增长1.70%，主要原因是：2022年在职人员调资增资，故缴纳社保五金基数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4.卫生健康支出（类）公立医院（款）综合医院（项）：支出决算数为4,041.97万元，比上年决算增加1,500.45万元，增长59.04%，主要原因是：补发在职人员基础性绩效奖、补发基本工资、绩效奖励金、2020年大绩效等1030.93万元。当年在职人员职称晋升及普调工资较上年有所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5.卫生健康支出（类）公立医院（款）其他公立医院支出（项）：支出决算数为522.05万元，比上年决算增加349.45万元，增长202.46%，主要原因是：2022年其他公立医院支出项目资金公立医院能力服务提升资金较上年有所增加，主要用于公立医院能力服务建设支付药品款、试剂款及设备款。</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6.卫生健康支出（类）公共卫生（款）基本公共卫生服务（项）：支出决算数为11.72万元，比上年决算增加3.16万元，增长36.92%，主要原因是：2022年基本公共卫生服务项目资金较上年有所增加，主要用于支付全民体检、职业病防治的卫生材料款。</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7.卫生健康支出（类）公共卫生（款）重大公共卫生服务（项）：支出决算数为64.50万元，比上年决算增加50.49万元，增长360.71%，主要原因是：2022年重大公共卫生服务项目资金较上年有所增加，主要用于支付结核病、重大传染病防治卫生材料款、疫情防控药品款。</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8.卫生健康支出（类）公共卫生（款）突发公共卫生事件应急处理（项）：支出决算数为403.87万元，比上年决算增加403.87万元，增长100%，主要原因是：2022年突发公共卫生事件应急处理项目资金较上年有所增加，主要用于支付2022年8-12月疫情防控药品款。</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9.卫生健康支出（类）公共卫生（款）其他公共卫生支出（项）：支出决算数为12.60万元，比上年决算减少3.99万元，下降24.05%，主要原因是：2022年其他公共卫生支出项目资金主要用于支付2022年全民体检卫生材料款。</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10.卫生健康支出（类）行政事业单位医疗（款）事业单位医疗（项）：支出决算数为326.37万元，比上年决算减少4.97万元，下降1.50%，主要原因是：2022年退休3人，死亡2人，社保缴费人员减少，故事业单位医疗较上年减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11.农林水支出（类）农业农村（款）其他农业农村支出（项）：支出决算数为1.65万元，比上年决算增加1.65万元，增长100%，主要原因是：2022年拨付2020年F工作经费1.65万元。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12.住房保障支出（类）住房改革支出（款）住房公积金（项）：支出决算数为270.57万元，比上年决算增加5.68万元，增长2.14%，主要原因是：2022年在职人员调资增资，故缴纳住房公积金基数增加。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13.其他支出（类）其他支出（款）其他支出（项）：支出决算数为19.91万元，比上年决算增加16.75万元，增长530.06%，主要原因是：本年拨付2021年及2022年F工作经费支出。</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19" w:name="_Toc11146"/>
      <w:bookmarkStart w:id="20" w:name="_Toc30870"/>
      <w:r>
        <w:rPr>
          <w:rFonts w:ascii="黑体" w:eastAsia="黑体" w:hAnsi="黑体" w:cs="宋体" w:hint="eastAsia"/>
          <w:kern w:val="0"/>
          <w:sz w:val="32"/>
          <w:szCs w:val="32"/>
          <w:highlight w:val="none"/>
          <w:lang w:eastAsia="zh-CN"/>
        </w:rPr>
        <w:t>六、一般公共预算财政拨款基本支出决算情况说明</w:t>
      </w:r>
      <w:bookmarkEnd w:id="19"/>
      <w:bookmarkEnd w:id="2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2022年度一般公共预算财政拨款基本支出5,328.27万元，其中：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人员经费5,328.27万元，包括：基本工资、津贴补贴、奖金、机关事业单位基本养老保险缴费、职业年金缴费、职工基本医疗保险缴费、其他社会保障缴费、住房公积金、离休费、退休费、抚恤金、生活补助。</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rPr>
        <w:t>公用经费0.00万元。</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1" w:name="_Toc21518"/>
      <w:bookmarkStart w:id="22" w:name="_Toc7190"/>
      <w:r>
        <w:rPr>
          <w:rFonts w:ascii="黑体" w:eastAsia="黑体" w:hAnsi="黑体" w:cs="宋体" w:hint="eastAsia"/>
          <w:kern w:val="0"/>
          <w:sz w:val="32"/>
          <w:szCs w:val="32"/>
          <w:highlight w:val="none"/>
          <w:lang w:eastAsia="zh-CN"/>
        </w:rPr>
        <w:t>七</w:t>
      </w:r>
      <w:r>
        <w:rPr>
          <w:rFonts w:ascii="黑体" w:eastAsia="黑体" w:hAnsi="黑体" w:cs="宋体" w:hint="eastAsia"/>
          <w:kern w:val="0"/>
          <w:sz w:val="32"/>
          <w:szCs w:val="32"/>
          <w:highlight w:val="none"/>
        </w:rPr>
        <w:t>、</w:t>
      </w:r>
      <w:r>
        <w:rPr>
          <w:rFonts w:ascii="黑体" w:eastAsia="黑体" w:hAnsi="黑体" w:cs="宋体" w:hint="eastAsia"/>
          <w:kern w:val="0"/>
          <w:sz w:val="32"/>
          <w:szCs w:val="32"/>
          <w:highlight w:val="none"/>
          <w:lang w:eastAsia="zh-CN"/>
        </w:rPr>
        <w:t>财政拨款</w:t>
      </w:r>
      <w:r>
        <w:rPr>
          <w:rFonts w:ascii="黑体" w:eastAsia="黑体" w:hAnsi="黑体" w:cs="宋体" w:hint="eastAsia"/>
          <w:kern w:val="0"/>
          <w:sz w:val="32"/>
          <w:szCs w:val="32"/>
          <w:highlight w:val="none"/>
        </w:rPr>
        <w:t>“三公”经费支出</w:t>
      </w:r>
      <w:r>
        <w:rPr>
          <w:rFonts w:ascii="黑体" w:eastAsia="黑体" w:hAnsi="黑体" w:cs="宋体" w:hint="eastAsia"/>
          <w:kern w:val="0"/>
          <w:sz w:val="32"/>
          <w:szCs w:val="32"/>
          <w:highlight w:val="none"/>
          <w:lang w:eastAsia="zh-CN"/>
        </w:rPr>
        <w:t>决算</w:t>
      </w:r>
      <w:r>
        <w:rPr>
          <w:rFonts w:ascii="黑体" w:eastAsia="黑体" w:hAnsi="黑体" w:cs="宋体" w:hint="eastAsia"/>
          <w:kern w:val="0"/>
          <w:sz w:val="32"/>
          <w:szCs w:val="32"/>
          <w:highlight w:val="none"/>
        </w:rPr>
        <w:t>情况</w:t>
      </w:r>
      <w:r>
        <w:rPr>
          <w:rFonts w:ascii="黑体" w:eastAsia="黑体" w:hAnsi="黑体" w:cs="宋体" w:hint="eastAsia"/>
          <w:kern w:val="0"/>
          <w:sz w:val="32"/>
          <w:szCs w:val="32"/>
          <w:highlight w:val="none"/>
          <w:lang w:eastAsia="zh-CN"/>
        </w:rPr>
        <w:t>说明</w:t>
      </w:r>
      <w:bookmarkEnd w:id="21"/>
      <w:bookmarkEnd w:id="2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w:t>
      </w:r>
      <w:r>
        <w:rPr>
          <w:rFonts w:ascii="仿宋_GB2312" w:eastAsia="仿宋_GB2312" w:hint="eastAsia"/>
          <w:spacing w:val="0"/>
          <w:sz w:val="32"/>
          <w:szCs w:val="32"/>
          <w:highlight w:val="none"/>
          <w:lang w:eastAsia="zh-CN"/>
        </w:rPr>
        <w:t>年度</w:t>
      </w:r>
      <w:r>
        <w:rPr>
          <w:rFonts w:ascii="仿宋_GB2312" w:eastAsia="仿宋_GB2312" w:hint="eastAsia"/>
          <w:sz w:val="32"/>
          <w:szCs w:val="32"/>
          <w:highlight w:val="none"/>
        </w:rPr>
        <w:t>财政拨款“三公”经费支出决算0.00万元，比上年增加0.00万元，增长0.00%，主要原因是：我单位性质属于财政差额补助事业单位，无“三公”经费预算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，故2022年无“三公”经费支出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。其中：因公出国（境）费支出0.00万元，占0.00%，比上年增加0.00万元，增长0.00%，主要原因是：我单位性质属于财政差额补助事业单位，年初无因公出国（境）费预算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，故2022年末无因公出国（境）费支出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；公务用车购置及运行维护费支出0.00万元，占0.00%，比上年增加0.00万元，增长0.00%，主要原因是：我单位性质属于财政差额补助事业单位，年初无公务用车购置及运行维护费预算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，故2022年末无公务用车购置及运行维护费</w:t>
      </w:r>
      <w:r>
        <w:rPr>
          <w:rFonts w:ascii="仿宋_GB2312" w:eastAsia="仿宋_GB2312" w:hint="eastAsia"/>
          <w:sz w:val="32"/>
          <w:szCs w:val="32"/>
          <w:highlight w:val="none"/>
          <w:lang w:val="en-US" w:eastAsia="zh-CN"/>
        </w:rPr>
        <w:t>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；公务接待费支出0.00万元，占0.00%，比上年增加0.00万元，增长0.00%，主要原因是：我单位性质属于财政差额补助事业单位，年初无公务接待费预算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，故2022年末无公务接待费支出</w:t>
      </w:r>
      <w:r>
        <w:rPr>
          <w:rFonts w:ascii="仿宋_GB2312" w:eastAsia="仿宋_GB2312" w:hint="eastAsia"/>
          <w:sz w:val="32"/>
          <w:szCs w:val="32"/>
          <w:highlight w:val="none"/>
          <w:lang w:eastAsia="zh-CN"/>
        </w:rPr>
        <w:t>，与上年相比无差异</w:t>
      </w:r>
      <w:r>
        <w:rPr>
          <w:rFonts w:ascii="仿宋_GB2312" w:eastAsia="仿宋_GB2312" w:hint="eastAsia"/>
          <w:sz w:val="32"/>
          <w:szCs w:val="32"/>
          <w:highlight w:val="none"/>
        </w:rPr>
        <w:t>。具体情况如下：</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因公出国（境）费支出0.00万元，开支内容包括我单位性质属于财政差额补助事业单位，年初无因公出国（境）费预算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，故2022年末无因公出国（境）费支出。单位全年安排的因公出国（境）团组0个，因公出国（境）0人次。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用车购置及运行维护费0.00万元，其中：公务用车购置费0.00万元，公务用车运行维护费0.00万元。公务用车运行维护费开支内容包括我单位性质属于财政差额补助事业单位，年初无公务用车购置及运行维护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，故2022年末无公务用车购置及运行维护费</w:t>
      </w:r>
      <w:r>
        <w:rPr>
          <w:rFonts w:ascii="仿宋_GB2312" w:eastAsia="仿宋_GB2312" w:hint="eastAsia"/>
          <w:sz w:val="32"/>
          <w:szCs w:val="32"/>
          <w:highlight w:val="none"/>
          <w:lang w:val="en-US" w:eastAsia="zh-CN"/>
        </w:rPr>
        <w:t>支出</w:t>
      </w:r>
      <w:r>
        <w:rPr>
          <w:rFonts w:ascii="仿宋_GB2312" w:eastAsia="仿宋_GB2312" w:hint="eastAsia"/>
          <w:sz w:val="32"/>
          <w:szCs w:val="32"/>
          <w:highlight w:val="none"/>
        </w:rPr>
        <w:t>。公务用车购置数0辆，公务用车保有量0辆。</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公务接待费0.00万元，开支内容包括我单位性质属于财政差额补助事业单位，年初无公务接待费预算</w:t>
      </w:r>
      <w:r>
        <w:rPr>
          <w:rFonts w:ascii="仿宋_GB2312" w:eastAsia="仿宋_GB2312" w:hint="eastAsia"/>
          <w:sz w:val="32"/>
          <w:szCs w:val="32"/>
          <w:highlight w:val="none"/>
          <w:lang w:val="en-US" w:eastAsia="zh-CN"/>
        </w:rPr>
        <w:t>安排</w:t>
      </w:r>
      <w:r>
        <w:rPr>
          <w:rFonts w:ascii="仿宋_GB2312" w:eastAsia="仿宋_GB2312" w:hint="eastAsia"/>
          <w:sz w:val="32"/>
          <w:szCs w:val="32"/>
          <w:highlight w:val="none"/>
        </w:rPr>
        <w:t>，故2022年末无公务接待费。单位全年安排的国内公务接待0批次，0人次。</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与全年预算数相比情况：“三公”经费支出全年预算数0.00万元，决算数0.00万元，预决算差异率0.00%，主要原因是：我单位未安排</w:t>
      </w:r>
      <w:r>
        <w:rPr>
          <w:rFonts w:ascii="仿宋_GB2312" w:eastAsia="仿宋_GB2312" w:hint="eastAsia"/>
          <w:sz w:val="32"/>
          <w:szCs w:val="32"/>
          <w:highlight w:val="none"/>
          <w:lang w:val="en-US" w:eastAsia="zh-CN"/>
        </w:rPr>
        <w:t>财政拨款</w:t>
      </w:r>
      <w:r>
        <w:rPr>
          <w:rFonts w:ascii="仿宋_GB2312" w:eastAsia="仿宋_GB2312" w:hint="eastAsia"/>
          <w:sz w:val="32"/>
          <w:szCs w:val="32"/>
          <w:highlight w:val="none"/>
        </w:rPr>
        <w:t>“三公”经费支出，预决算无差异。</w:t>
      </w:r>
      <w:r>
        <w:rPr>
          <w:rFonts w:ascii="仿宋_GB2312" w:eastAsia="仿宋_GB2312" w:hint="eastAsia"/>
          <w:sz w:val="32"/>
          <w:szCs w:val="32"/>
          <w:highlight w:val="none"/>
          <w:lang w:eastAsia="zh-CN"/>
        </w:rPr>
        <w:t>其中：因公出国（境）费全年预算数0.00万元，决算数0.00万元，预决算差异率0.00%，主要原因是：我单位未安排因公出国（境）费，预决算无差异；</w:t>
      </w:r>
      <w:r>
        <w:rPr>
          <w:rFonts w:ascii="仿宋_GB2312" w:eastAsia="仿宋_GB2312" w:hint="eastAsia"/>
          <w:sz w:val="32"/>
          <w:szCs w:val="32"/>
          <w:highlight w:val="none"/>
        </w:rPr>
        <w:t>公务用车购置费全年预算数0.00万元，决算数0.00万元，预决算差异率0.00%，主要原因是：我单位未安排公务用车购置费，预决算无差异；</w:t>
      </w:r>
      <w:r>
        <w:rPr>
          <w:rFonts w:ascii="仿宋_GB2312" w:eastAsia="仿宋_GB2312" w:hAnsi="宋体" w:cs="宋体" w:hint="eastAsia"/>
          <w:kern w:val="0"/>
          <w:sz w:val="32"/>
          <w:szCs w:val="32"/>
          <w:highlight w:val="none"/>
        </w:rPr>
        <w:t>公务用车运行费全年预算数0.00万元，决算数0.00万元，预决算差异率0.00%，主要原因是：我单位未安排公务用车运行费，预决算无差异；</w:t>
      </w:r>
      <w:r>
        <w:rPr>
          <w:rFonts w:ascii="仿宋_GB2312" w:eastAsia="仿宋_GB2312" w:hint="eastAsia"/>
          <w:sz w:val="32"/>
          <w:szCs w:val="32"/>
          <w:highlight w:val="none"/>
        </w:rPr>
        <w:t>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3" w:name="_Toc7927"/>
      <w:bookmarkStart w:id="24" w:name="_Toc5810"/>
      <w:r>
        <w:rPr>
          <w:rFonts w:ascii="黑体" w:eastAsia="黑体" w:hAnsi="黑体" w:cs="宋体" w:hint="eastAsia"/>
          <w:kern w:val="0"/>
          <w:sz w:val="32"/>
          <w:szCs w:val="32"/>
          <w:highlight w:val="none"/>
          <w:lang w:eastAsia="zh-CN"/>
        </w:rPr>
        <w:t>八、政府性基金预算财政拨款收入支出决算情况说明</w:t>
      </w:r>
      <w:bookmarkEnd w:id="23"/>
      <w:bookmarkEnd w:id="2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2022年度政府性基金预算年初结转和结余0.00万元，财政拨款收入8,973.94万元，与上年相比，增加4,973.28万元，增长124.31%。主要原因是：</w:t>
      </w:r>
      <w:r>
        <w:rPr>
          <w:rFonts w:ascii="仿宋_GB2312" w:eastAsia="仿宋_GB2312" w:hint="eastAsia"/>
          <w:spacing w:val="0"/>
          <w:sz w:val="32"/>
          <w:szCs w:val="32"/>
          <w:highlight w:val="none"/>
          <w:lang w:val="en-US" w:eastAsia="zh-CN"/>
        </w:rPr>
        <w:t>新增</w:t>
      </w:r>
      <w:r>
        <w:rPr>
          <w:rFonts w:ascii="仿宋_GB2312" w:eastAsia="仿宋_GB2312" w:hint="eastAsia"/>
          <w:spacing w:val="0"/>
          <w:sz w:val="32"/>
          <w:szCs w:val="32"/>
          <w:highlight w:val="none"/>
        </w:rPr>
        <w:t>乌苏市人民医院综合病房楼、战时急救及地下人掩库房工程、规范化培训基地及消毒供应中心建设项目。政府性基金预算年末结转结余0.00万元，财政拨款支出8,973.94万元，与上年相比，增加4,973.28万元，增长124.31%。主要原因是：</w:t>
      </w:r>
      <w:r>
        <w:rPr>
          <w:rFonts w:ascii="仿宋_GB2312" w:eastAsia="仿宋_GB2312" w:hint="eastAsia"/>
          <w:spacing w:val="0"/>
          <w:sz w:val="32"/>
          <w:szCs w:val="32"/>
          <w:highlight w:val="none"/>
          <w:lang w:val="en-US" w:eastAsia="zh-CN"/>
        </w:rPr>
        <w:t>新增</w:t>
      </w:r>
      <w:r>
        <w:rPr>
          <w:rFonts w:ascii="仿宋_GB2312" w:eastAsia="仿宋_GB2312" w:hint="eastAsia"/>
          <w:spacing w:val="0"/>
          <w:sz w:val="32"/>
          <w:szCs w:val="32"/>
          <w:highlight w:val="none"/>
        </w:rPr>
        <w:t>乌苏市人民医院综合病房楼、战时急救及地下人掩库房工程、规范化培训基地及消毒供应中心建设项目。</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政府性基金预算财政拨款支出8,973.94万元。</w:t>
      </w:r>
      <w:r>
        <w:rPr>
          <w:rFonts w:ascii="仿宋_GB2312" w:eastAsia="仿宋_GB2312" w:hint="eastAsia"/>
          <w:sz w:val="32"/>
          <w:szCs w:val="32"/>
        </w:rPr>
        <w:t>按功能分类科目</w:t>
      </w:r>
      <w:r>
        <w:rPr>
          <w:rFonts w:ascii="仿宋_GB2312" w:eastAsia="仿宋_GB2312" w:hint="eastAsia"/>
          <w:sz w:val="32"/>
          <w:szCs w:val="32"/>
          <w:lang w:eastAsia="zh-CN"/>
        </w:rPr>
        <w:t>项</w:t>
      </w:r>
      <w:r>
        <w:rPr>
          <w:rFonts w:ascii="仿宋_GB2312" w:eastAsia="仿宋_GB2312" w:hint="eastAsia"/>
          <w:sz w:val="32"/>
          <w:szCs w:val="32"/>
        </w:rPr>
        <w:t>级科目公开</w:t>
      </w:r>
      <w:r>
        <w:rPr>
          <w:rFonts w:ascii="仿宋_GB2312" w:eastAsia="仿宋_GB2312" w:hint="eastAsia"/>
          <w:sz w:val="32"/>
          <w:szCs w:val="32"/>
          <w:lang w:eastAsia="zh-CN"/>
        </w:rPr>
        <w:t>，</w:t>
      </w:r>
      <w:r>
        <w:rPr>
          <w:rFonts w:ascii="仿宋_GB2312" w:eastAsia="仿宋_GB2312" w:hint="eastAsia"/>
          <w:sz w:val="32"/>
          <w:szCs w:val="32"/>
          <w:highlight w:val="none"/>
          <w:lang w:eastAsia="zh-CN"/>
        </w:rPr>
        <w:t>其中：</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val="en-US" w:eastAsia="zh-CN"/>
        </w:rPr>
        <w:t>2290402其他地方自行试点项目收益专项债券收入安排的支出8,973.94万元。</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我单位本年度无国有资本经营预算财政拨款收入、支出及结转和结余，</w:t>
      </w:r>
      <w:r>
        <w:rPr>
          <w:rFonts w:ascii="仿宋_GB2312" w:eastAsia="仿宋_GB2312" w:hint="eastAsia"/>
          <w:sz w:val="32"/>
          <w:szCs w:val="32"/>
          <w:highlight w:val="none"/>
        </w:rPr>
        <w:t>国有资本经营预算财政拨款收入支出决算表为空表。</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25" w:name="_Toc7314"/>
      <w:bookmarkStart w:id="26" w:name="_Toc1235"/>
      <w:r>
        <w:rPr>
          <w:rFonts w:ascii="黑体" w:eastAsia="黑体" w:hAnsi="黑体" w:cs="宋体" w:hint="eastAsia"/>
          <w:kern w:val="0"/>
          <w:sz w:val="32"/>
          <w:szCs w:val="32"/>
          <w:highlight w:val="none"/>
          <w:lang w:eastAsia="zh-CN"/>
        </w:rPr>
        <w:t>十</w:t>
      </w:r>
      <w:r>
        <w:rPr>
          <w:rFonts w:ascii="黑体" w:eastAsia="黑体" w:hAnsi="黑体" w:cs="宋体" w:hint="eastAsia"/>
          <w:kern w:val="0"/>
          <w:sz w:val="32"/>
          <w:szCs w:val="32"/>
          <w:highlight w:val="none"/>
        </w:rPr>
        <w:t>、其他重要事项的情况</w:t>
      </w:r>
      <w:r>
        <w:rPr>
          <w:rFonts w:ascii="黑体" w:eastAsia="黑体" w:hAnsi="黑体" w:cs="宋体" w:hint="eastAsia"/>
          <w:kern w:val="0"/>
          <w:sz w:val="32"/>
          <w:szCs w:val="32"/>
          <w:highlight w:val="none"/>
          <w:lang w:eastAsia="zh-CN"/>
        </w:rPr>
        <w:t>说明</w:t>
      </w:r>
      <w:bookmarkEnd w:id="25"/>
      <w:bookmarkEnd w:id="26"/>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rPr>
      </w:pPr>
      <w:bookmarkStart w:id="27" w:name="_Toc14519"/>
      <w:bookmarkStart w:id="28" w:name="_Toc13105"/>
      <w:r>
        <w:rPr>
          <w:rFonts w:ascii="黑体" w:eastAsia="黑体" w:hAnsi="黑体" w:hint="eastAsia"/>
          <w:sz w:val="32"/>
          <w:szCs w:val="32"/>
          <w:highlight w:val="none"/>
          <w:lang w:eastAsia="zh-CN"/>
        </w:rPr>
        <w:t>（一）</w:t>
      </w:r>
      <w:r>
        <w:rPr>
          <w:rFonts w:ascii="黑体" w:eastAsia="黑体" w:hAnsi="黑体" w:hint="eastAsia"/>
          <w:sz w:val="32"/>
          <w:szCs w:val="32"/>
          <w:highlight w:val="none"/>
        </w:rPr>
        <w:t>机关运行经费支出情况</w:t>
      </w:r>
      <w:bookmarkEnd w:id="27"/>
      <w:bookmarkEnd w:id="28"/>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2022年度新疆塔城地区乌苏市人民医院（事业单位）公用经费0.00万元，比上年增加0.00万元，增长0.00%，主要原因是：我单位性质属于财政差额补助事业单位，年初无公用经费预算支出，故2022年末无公用经费。</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29" w:name="_Toc227"/>
      <w:bookmarkStart w:id="30" w:name="_Toc26704"/>
      <w:r>
        <w:rPr>
          <w:rFonts w:ascii="黑体" w:eastAsia="黑体" w:hAnsi="黑体" w:hint="eastAsia"/>
          <w:sz w:val="32"/>
          <w:szCs w:val="32"/>
          <w:highlight w:val="none"/>
          <w:lang w:eastAsia="zh-CN"/>
        </w:rPr>
        <w:t>（二）政府采购情况</w:t>
      </w:r>
      <w:bookmarkEnd w:id="29"/>
      <w:bookmarkEnd w:id="30"/>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pacing w:val="0"/>
          <w:sz w:val="32"/>
          <w:szCs w:val="32"/>
          <w:highlight w:val="none"/>
        </w:rPr>
        <w:t>2022年度政府采购支出总额1,231.87万元，其中：政府采购货物支出476.08万元、政府采购工程支出487.93万元、政府采购服务支出267.86万元。</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val="en-US" w:eastAsia="zh-CN"/>
        </w:rPr>
      </w:pPr>
      <w:r>
        <w:rPr>
          <w:rFonts w:ascii="仿宋_GB2312" w:eastAsia="仿宋_GB2312" w:hint="eastAsia"/>
          <w:sz w:val="32"/>
          <w:szCs w:val="32"/>
          <w:highlight w:val="none"/>
        </w:rPr>
        <w:t>授予中小企业合同金额</w:t>
      </w:r>
      <w:r>
        <w:rPr>
          <w:rFonts w:ascii="仿宋_GB2312" w:eastAsia="仿宋_GB2312" w:hint="eastAsia"/>
          <w:sz w:val="32"/>
          <w:szCs w:val="32"/>
          <w:highlight w:val="none"/>
          <w:lang w:eastAsia="zh-CN"/>
        </w:rPr>
        <w:t>100.00</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8.12</w:t>
      </w:r>
      <w:r>
        <w:rPr>
          <w:rFonts w:ascii="仿宋_GB2312" w:eastAsia="仿宋_GB2312" w:hint="eastAsia"/>
          <w:sz w:val="32"/>
          <w:szCs w:val="32"/>
          <w:highlight w:val="none"/>
          <w:lang w:val="en-US" w:eastAsia="zh-CN"/>
        </w:rPr>
        <w:t>%</w:t>
      </w:r>
      <w:r>
        <w:rPr>
          <w:rFonts w:ascii="仿宋_GB2312" w:eastAsia="仿宋_GB2312" w:hint="eastAsia"/>
          <w:sz w:val="32"/>
          <w:szCs w:val="32"/>
          <w:highlight w:val="none"/>
        </w:rPr>
        <w:t>，其中：授予小微企业合同金额</w:t>
      </w:r>
      <w:r>
        <w:rPr>
          <w:rFonts w:ascii="仿宋_GB2312" w:eastAsia="仿宋_GB2312" w:hint="eastAsia"/>
          <w:sz w:val="32"/>
          <w:szCs w:val="32"/>
          <w:highlight w:val="none"/>
          <w:lang w:eastAsia="zh-CN"/>
        </w:rPr>
        <w:t>100.00</w:t>
      </w:r>
      <w:r>
        <w:rPr>
          <w:rFonts w:ascii="仿宋_GB2312" w:eastAsia="仿宋_GB2312" w:hint="eastAsia"/>
          <w:sz w:val="32"/>
          <w:szCs w:val="32"/>
          <w:highlight w:val="none"/>
        </w:rPr>
        <w:t>万元，占政府采购支出总额的</w:t>
      </w:r>
      <w:r>
        <w:rPr>
          <w:rFonts w:ascii="仿宋_GB2312" w:eastAsia="仿宋_GB2312" w:hint="eastAsia"/>
          <w:sz w:val="32"/>
          <w:szCs w:val="32"/>
          <w:highlight w:val="none"/>
          <w:lang w:eastAsia="zh-CN"/>
        </w:rPr>
        <w:t>8.12</w:t>
      </w:r>
      <w:r>
        <w:rPr>
          <w:rFonts w:ascii="仿宋_GB2312" w:eastAsia="仿宋_GB2312" w:hint="eastAsia"/>
          <w:sz w:val="32"/>
          <w:szCs w:val="32"/>
          <w:highlight w:val="none"/>
          <w:lang w:val="en-US" w:eastAsia="zh-CN"/>
        </w:rPr>
        <w:t>%。</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outlineLvl w:val="2"/>
        <w:rPr>
          <w:rFonts w:ascii="黑体" w:eastAsia="黑体" w:hAnsi="黑体" w:hint="eastAsia"/>
          <w:sz w:val="32"/>
          <w:szCs w:val="32"/>
          <w:highlight w:val="none"/>
          <w:lang w:eastAsia="zh-CN"/>
        </w:rPr>
      </w:pPr>
      <w:bookmarkStart w:id="31" w:name="_Toc4591"/>
      <w:bookmarkStart w:id="32" w:name="_Toc8391"/>
      <w:r>
        <w:rPr>
          <w:rFonts w:ascii="黑体" w:eastAsia="黑体" w:hAnsi="黑体" w:hint="eastAsia"/>
          <w:sz w:val="32"/>
          <w:szCs w:val="32"/>
          <w:highlight w:val="none"/>
          <w:lang w:eastAsia="zh-CN"/>
        </w:rPr>
        <w:t>（三）国有资产占用情况说明</w:t>
      </w:r>
      <w:bookmarkEnd w:id="31"/>
      <w:bookmarkEnd w:id="32"/>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截止2022年12月31日，固定资产原值25,569.74万元，房屋43,666.01平方米，价值9,958.09万元。车辆17辆，价值486.36万元，其中：副部（省）级及以上领导用车0辆、主要领导干部用车0辆、机要通信用车0辆、应急保障用车1辆、执法执勤用车0辆、特种专业技术用车3辆、离退休干部用车0辆、其他用车13辆，其他用车主要是：120急救救护车；单价100万元（含）以上设备（不含车辆）20台（套）。</w:t>
      </w:r>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33" w:name="_Toc435"/>
      <w:bookmarkStart w:id="34" w:name="_Toc11283"/>
      <w:r>
        <w:rPr>
          <w:rFonts w:ascii="黑体" w:eastAsia="黑体" w:hAnsi="黑体" w:cs="宋体" w:hint="eastAsia"/>
          <w:kern w:val="0"/>
          <w:sz w:val="32"/>
          <w:szCs w:val="32"/>
          <w:highlight w:val="none"/>
          <w:lang w:eastAsia="zh-CN"/>
        </w:rPr>
        <w:t>十一、预算绩效的情况说明</w:t>
      </w:r>
      <w:bookmarkEnd w:id="33"/>
      <w:bookmarkEnd w:id="34"/>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lang w:eastAsia="zh-CN"/>
        </w:rPr>
      </w:pPr>
      <w:r>
        <w:rPr>
          <w:rFonts w:ascii="仿宋_GB2312" w:eastAsia="仿宋_GB2312" w:hint="eastAsia"/>
          <w:sz w:val="32"/>
          <w:szCs w:val="32"/>
          <w:highlight w:val="none"/>
          <w:lang w:eastAsia="zh-CN"/>
        </w:rPr>
        <w:t>根据预算绩效管理要求，我单位2022年度开展预算绩效评价项目</w:t>
      </w:r>
      <w:r>
        <w:rPr>
          <w:rFonts w:ascii="仿宋_GB2312" w:eastAsia="仿宋_GB2312" w:hint="eastAsia"/>
          <w:sz w:val="32"/>
          <w:szCs w:val="32"/>
          <w:highlight w:val="none"/>
          <w:lang w:val="en-US" w:eastAsia="zh-CN"/>
        </w:rPr>
        <w:t>5</w:t>
      </w:r>
      <w:r>
        <w:rPr>
          <w:rFonts w:ascii="仿宋_GB2312" w:eastAsia="仿宋_GB2312" w:hint="eastAsia"/>
          <w:sz w:val="32"/>
          <w:szCs w:val="32"/>
          <w:highlight w:val="none"/>
          <w:lang w:eastAsia="zh-CN"/>
        </w:rPr>
        <w:t>个，全年预算数</w:t>
      </w:r>
      <w:r>
        <w:rPr>
          <w:rFonts w:ascii="仿宋_GB2312" w:eastAsia="仿宋_GB2312" w:hint="eastAsia"/>
          <w:sz w:val="32"/>
          <w:szCs w:val="32"/>
          <w:highlight w:val="none"/>
          <w:lang w:val="en-US" w:eastAsia="zh-CN"/>
        </w:rPr>
        <w:t>836.3</w:t>
      </w:r>
      <w:r>
        <w:rPr>
          <w:rFonts w:ascii="仿宋_GB2312" w:eastAsia="仿宋_GB2312" w:hint="eastAsia"/>
          <w:sz w:val="32"/>
          <w:szCs w:val="32"/>
          <w:highlight w:val="none"/>
          <w:lang w:eastAsia="zh-CN"/>
        </w:rPr>
        <w:t>万元，全年执行数</w:t>
      </w:r>
      <w:r>
        <w:rPr>
          <w:rFonts w:ascii="仿宋_GB2312" w:eastAsia="仿宋_GB2312" w:hint="eastAsia"/>
          <w:sz w:val="32"/>
          <w:szCs w:val="32"/>
          <w:highlight w:val="none"/>
          <w:lang w:val="en-US" w:eastAsia="zh-CN"/>
        </w:rPr>
        <w:t>836.3</w:t>
      </w:r>
      <w:r>
        <w:rPr>
          <w:rFonts w:ascii="仿宋_GB2312" w:eastAsia="仿宋_GB2312" w:hint="eastAsia"/>
          <w:sz w:val="32"/>
          <w:szCs w:val="32"/>
          <w:highlight w:val="none"/>
          <w:lang w:eastAsia="zh-CN"/>
        </w:rPr>
        <w:t>万元。预算绩效管理取得的成效：一是提高新冠病毒检测能力；提升传染病和感染性疾病规范化诊疗水平；消除居民对传染病的恐惧。如期完成2020年全民健康体检项目，完善信息系统；二是提高村民生活质量；改善村队环境。发现的问题及原因：一是重大疫情防控救治体系建设补助经费有限不能惠及所有群众；检测点较多，检测人员缺乏；体检流程有待进一步完善细化，因硬件设施的条件限制，全民体检科室较分散，给就诊带来不便； 全民健康体检信息化建设需完善；因没有安装全民健康体检冠新系统，致使信息均手工填写，较繁琐，加大了工作量；二是为民办实事经费有限不能惠及所有群众，经费使用计划不周密。下一步改进措施：一是完善公共卫生服务体系，加强实施设备配备及人才培训；不断提升重大疫情救治能力和突发公共卫生事件应对能力。规范、优化、健康体检流程，建立科学、便捷的全民健康体检信息化平台的建设；召开各单位全民健康体检的协调会，明确体检单位的各自职责，明确责任，各体检单位派专人负责，督导体检工作；二是严格审批流程，对F经费使用工作更加规范；做好经费使用计划。具体项目自评情况附项目支出绩效自评表。</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5" w:name="_Toc24143"/>
      <w:bookmarkStart w:id="36" w:name="_Toc3250"/>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第三部分 专业名词解释</w:t>
      </w:r>
      <w:bookmarkEnd w:id="35"/>
      <w:bookmarkEnd w:id="36"/>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lang w:eastAsia="zh-CN"/>
        </w:rPr>
        <w:t>年初</w:t>
      </w:r>
      <w:r>
        <w:rPr>
          <w:rFonts w:ascii="仿宋_GB2312" w:eastAsia="仿宋_GB2312" w:hint="eastAsia"/>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三公”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ascii="仿宋_GB2312" w:eastAsia="仿宋_GB2312" w:hint="eastAsia"/>
          <w:sz w:val="32"/>
          <w:szCs w:val="32"/>
          <w:highlight w:val="none"/>
        </w:rPr>
      </w:pPr>
      <w:r>
        <w:rPr>
          <w:rFonts w:ascii="仿宋_GB2312" w:eastAsia="仿宋_GB2312" w:hint="eastAsia"/>
          <w:sz w:val="32"/>
          <w:szCs w:val="32"/>
          <w:highlight w:val="none"/>
        </w:rPr>
        <w:t>机关运行经费：行政单位和参照公务员法管理的事业单位财政拨款基本支出中的公用经费支出。</w:t>
      </w:r>
    </w:p>
    <w:p>
      <w:pPr>
        <w:keepNext w:val="0"/>
        <w:keepLines w:val="0"/>
        <w:pageBreakBefore w:val="0"/>
        <w:widowControl w:val="0"/>
        <w:kinsoku/>
        <w:wordWrap/>
        <w:overflowPunct/>
        <w:topLinePunct w:val="0"/>
        <w:autoSpaceDE/>
        <w:autoSpaceDN/>
        <w:adjustRightInd/>
        <w:snapToGrid/>
        <w:spacing w:line="240" w:lineRule="auto"/>
        <w:ind w:firstLine="560" w:firstLineChars="200"/>
        <w:jc w:val="center"/>
        <w:textAlignment w:val="auto"/>
        <w:outlineLvl w:val="0"/>
        <w:rPr>
          <w:rFonts w:ascii="黑体" w:eastAsia="黑体" w:hAnsi="黑体" w:hint="eastAsia"/>
          <w:sz w:val="32"/>
          <w:szCs w:val="32"/>
          <w:highlight w:val="none"/>
        </w:rPr>
      </w:pPr>
      <w:bookmarkStart w:id="37" w:name="_Toc28903"/>
      <w:bookmarkStart w:id="38" w:name="_Toc22784"/>
      <w:r>
        <w:rPr>
          <w:rFonts w:ascii="黑体" w:hint="default"/>
          <w:b/>
          <w:kern w:val="44"/>
          <w:sz w:val="28"/>
        </w:rPr>
        <w:br w:type="page"/>
      </w:r>
      <w:r>
        <w:rPr>
          <w:rFonts w:ascii="黑体" w:hint="default"/>
          <w:b/>
          <w:spacing w:val="40"/>
          <w:sz w:val="28"/>
        </w:rPr>
        <w:t xml:space="preserve"> </w:t>
      </w:r>
      <w:r>
        <w:rPr>
          <w:rFonts w:ascii="黑体" w:eastAsia="黑体" w:hAnsi="黑体" w:hint="eastAsia"/>
          <w:sz w:val="32"/>
          <w:szCs w:val="32"/>
          <w:highlight w:val="none"/>
        </w:rPr>
        <w:t>第四部分 部门决算报表（见附表）</w:t>
      </w:r>
      <w:bookmarkEnd w:id="37"/>
      <w:bookmarkEnd w:id="3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39" w:name="_Toc6062"/>
      <w:bookmarkStart w:id="40" w:name="_Toc2183"/>
      <w:r>
        <w:rPr>
          <w:rFonts w:ascii="黑体" w:eastAsia="黑体" w:hAnsi="黑体" w:cs="宋体" w:hint="eastAsia"/>
          <w:kern w:val="0"/>
          <w:sz w:val="32"/>
          <w:szCs w:val="32"/>
          <w:highlight w:val="none"/>
        </w:rPr>
        <w:t>一、《收入支出决算总表》</w:t>
      </w:r>
      <w:bookmarkEnd w:id="39"/>
      <w:bookmarkEnd w:id="4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1" w:name="_Toc24532"/>
      <w:bookmarkStart w:id="42" w:name="_Toc30364"/>
      <w:r>
        <w:rPr>
          <w:rFonts w:ascii="黑体" w:eastAsia="黑体" w:hAnsi="黑体" w:cs="宋体" w:hint="eastAsia"/>
          <w:kern w:val="0"/>
          <w:sz w:val="32"/>
          <w:szCs w:val="32"/>
          <w:highlight w:val="none"/>
        </w:rPr>
        <w:t>二、《收入决算表》</w:t>
      </w:r>
      <w:bookmarkEnd w:id="41"/>
      <w:bookmarkEnd w:id="4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3" w:name="_Toc21304"/>
      <w:bookmarkStart w:id="44" w:name="_Toc32434"/>
      <w:r>
        <w:rPr>
          <w:rFonts w:ascii="黑体" w:eastAsia="黑体" w:hAnsi="黑体" w:cs="宋体" w:hint="eastAsia"/>
          <w:kern w:val="0"/>
          <w:sz w:val="32"/>
          <w:szCs w:val="32"/>
          <w:highlight w:val="none"/>
        </w:rPr>
        <w:t>三、《支出决算表》</w:t>
      </w:r>
      <w:bookmarkEnd w:id="43"/>
      <w:bookmarkEnd w:id="4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5" w:name="_Toc14238"/>
      <w:bookmarkStart w:id="46" w:name="_Toc28786"/>
      <w:r>
        <w:rPr>
          <w:rFonts w:ascii="黑体" w:eastAsia="黑体" w:hAnsi="黑体" w:cs="宋体" w:hint="eastAsia"/>
          <w:kern w:val="0"/>
          <w:sz w:val="32"/>
          <w:szCs w:val="32"/>
          <w:highlight w:val="none"/>
        </w:rPr>
        <w:t>四、《财政拨款收入支出决算总表》</w:t>
      </w:r>
      <w:bookmarkEnd w:id="45"/>
      <w:bookmarkEnd w:id="46"/>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7" w:name="_Toc10347"/>
      <w:bookmarkStart w:id="48" w:name="_Toc14869"/>
      <w:r>
        <w:rPr>
          <w:rFonts w:ascii="黑体" w:eastAsia="黑体" w:hAnsi="黑体" w:cs="宋体" w:hint="eastAsia"/>
          <w:kern w:val="0"/>
          <w:sz w:val="32"/>
          <w:szCs w:val="32"/>
          <w:highlight w:val="none"/>
        </w:rPr>
        <w:t>五、《一般公共预算财政拨款支出决算表》</w:t>
      </w:r>
      <w:bookmarkEnd w:id="47"/>
      <w:bookmarkEnd w:id="48"/>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49" w:name="_Toc5626"/>
      <w:bookmarkStart w:id="50" w:name="_Toc8884"/>
      <w:r>
        <w:rPr>
          <w:rFonts w:ascii="黑体" w:eastAsia="黑体" w:hAnsi="黑体" w:cs="宋体" w:hint="eastAsia"/>
          <w:kern w:val="0"/>
          <w:sz w:val="32"/>
          <w:szCs w:val="32"/>
          <w:highlight w:val="none"/>
        </w:rPr>
        <w:t>六、《一般公共预算财政拨款基本支出决算表》</w:t>
      </w:r>
      <w:bookmarkEnd w:id="49"/>
      <w:bookmarkEnd w:id="50"/>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rPr>
      </w:pPr>
      <w:bookmarkStart w:id="51" w:name="_Toc32663"/>
      <w:bookmarkStart w:id="52" w:name="_Toc29106"/>
      <w:r>
        <w:rPr>
          <w:rFonts w:ascii="黑体" w:eastAsia="黑体" w:hAnsi="黑体" w:cs="宋体" w:hint="eastAsia"/>
          <w:kern w:val="0"/>
          <w:sz w:val="32"/>
          <w:szCs w:val="32"/>
          <w:highlight w:val="none"/>
        </w:rPr>
        <w:t>七、《财政拨款“三公”经费支出决算表》</w:t>
      </w:r>
      <w:bookmarkEnd w:id="51"/>
      <w:bookmarkEnd w:id="52"/>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bookmarkStart w:id="53" w:name="_Toc7643"/>
      <w:bookmarkStart w:id="54" w:name="_Toc5453"/>
      <w:r>
        <w:rPr>
          <w:rFonts w:ascii="黑体" w:eastAsia="黑体" w:hAnsi="黑体" w:cs="宋体" w:hint="eastAsia"/>
          <w:kern w:val="0"/>
          <w:sz w:val="32"/>
          <w:szCs w:val="32"/>
          <w:highlight w:val="none"/>
        </w:rPr>
        <w:t>八、《政府性基金预算财政拨款收入支出决算表》</w:t>
      </w:r>
      <w:bookmarkEnd w:id="53"/>
      <w:bookmarkEnd w:id="54"/>
    </w:p>
    <w:p>
      <w:pPr>
        <w:keepNext w:val="0"/>
        <w:keepLines w:val="0"/>
        <w:pageBreakBefore w:val="0"/>
        <w:widowControl w:val="0"/>
        <w:kinsoku/>
        <w:wordWrap/>
        <w:overflowPunct/>
        <w:topLinePunct w:val="0"/>
        <w:autoSpaceDE/>
        <w:autoSpaceDN/>
        <w:adjustRightInd/>
        <w:snapToGrid/>
        <w:spacing w:line="240" w:lineRule="auto"/>
        <w:ind w:firstLine="640" w:firstLineChars="200"/>
        <w:jc w:val="both"/>
        <w:textAlignment w:val="auto"/>
        <w:outlineLvl w:val="1"/>
        <w:rPr>
          <w:rFonts w:ascii="黑体" w:eastAsia="黑体" w:hAnsi="黑体" w:cs="宋体" w:hint="eastAsia"/>
          <w:kern w:val="0"/>
          <w:sz w:val="32"/>
          <w:szCs w:val="32"/>
          <w:highlight w:val="none"/>
          <w:lang w:eastAsia="zh-CN"/>
        </w:rPr>
      </w:pPr>
      <w:r>
        <w:rPr>
          <w:rFonts w:ascii="黑体" w:eastAsia="黑体" w:hAnsi="黑体" w:cs="宋体" w:hint="eastAsia"/>
          <w:kern w:val="0"/>
          <w:sz w:val="32"/>
          <w:szCs w:val="32"/>
          <w:highlight w:val="none"/>
        </w:rPr>
        <w:t>九、《国有资本经营预算财政拨款收入支出决算表》</w:t>
      </w:r>
    </w:p>
    <w:p/>
    <w:sectPr>
      <w:footerReference w:type="default" r:id="rId5"/>
      <w:pgSz w:w="11906" w:h="16838"/>
      <w:pgMar w:top="1440" w:right="1800" w:bottom="1440" w:left="1800" w:header="851" w:footer="992"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center" w:pos="4153"/>
        <w:tab w:val="right" w:pos="8306"/>
      </w:tabs>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tabs>
                        <w:tab w:val="center" w:pos="4153"/>
                        <w:tab w:val="right" w:pos="8306"/>
                      </w:tabs>
                      <w:rPr>
                        <w:rFonts w:eastAsia="宋体" w:hint="eastAsia"/>
                        <w:lang w:eastAsia="zh-CN"/>
                      </w:rPr>
                    </w:pPr>
                    <w:r>
                      <w:rPr>
                        <w:rFonts w:hint="eastAsia"/>
                        <w:lang w:eastAsia="zh-CN"/>
                      </w:rPr>
                      <w:fldChar w:fldCharType="begin"/>
                    </w:r>
                    <w:r>
                      <w:rPr>
                        <w:rFonts w:hint="eastAsia"/>
                        <w:lang w:eastAsia="zh-CN"/>
                      </w:rPr>
                      <w:instrText xml:space="preserve"> PAGE \* MERGEFORMAT</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1104E27"/>
    <w:rsid w:val="186953E3"/>
    <w:rsid w:val="20554392"/>
    <w:rsid w:val="2A797420"/>
    <w:rsid w:val="416A11CE"/>
    <w:rsid w:val="4DB92A6B"/>
    <w:rsid w:val="53271B49"/>
    <w:rsid w:val="71FA54DD"/>
    <w:rsid w:val="794C51C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hint="default"/>
      <w:kern w:val="2"/>
      <w:sz w:val="21"/>
      <w:szCs w:val="24"/>
      <w:lang w:val="en-US" w:eastAsia="zh-CN"/>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TOC3">
    <w:name w:val="toc 3"/>
    <w:basedOn w:val="Normal"/>
    <w:next w:val="Normal"/>
    <w:qFormat/>
    <w:pPr>
      <w:ind w:left="840" w:leftChars="400"/>
    </w:pPr>
  </w:style>
  <w:style w:type="paragraph" w:styleId="Footer">
    <w:name w:val="footer"/>
    <w:basedOn w:val="Normal"/>
    <w:qFormat/>
    <w:pPr>
      <w:snapToGrid w:val="0"/>
      <w:jc w:val="left"/>
    </w:pPr>
    <w:rPr>
      <w:sz w:val="18"/>
    </w:rPr>
  </w:style>
  <w:style w:type="paragraph" w:styleId="TOC1">
    <w:name w:val="toc 1"/>
    <w:basedOn w:val="Normal"/>
    <w:next w:val="Normal"/>
    <w:qFormat/>
  </w:style>
  <w:style w:type="paragraph" w:styleId="TOC2">
    <w:name w:val="toc 2"/>
    <w:basedOn w:val="Normal"/>
    <w:next w:val="Normal"/>
    <w:qFormat/>
    <w:pPr>
      <w:ind w:left="420" w:left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0</cp:revision>
  <dcterms:created xsi:type="dcterms:W3CDTF">2023-11-16T03:16:00Z</dcterms:created>
  <dcterms:modified xsi:type="dcterms:W3CDTF">2023-02-14T11:26:51Z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1848F6647A014E5C8EF48046480B7B2D</vt:lpwstr>
  </property>
  <property fmtid="{D5CDD505-2E9C-101B-9397-08002B2CF9AE}" pid="3" name="KSOProductBuildVer">
    <vt:lpwstr>2052-11.8.2.8555</vt:lpwstr>
  </property>
</Properties>
</file>