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新疆塔城地区乌苏市医疗保障局2022年度部门决算公开说明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32314"/>
      <w:bookmarkStart w:id="2" w:name="_Toc24028"/>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738"/>
      <w:bookmarkStart w:id="4" w:name="_Toc30567"/>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一)贯彻实施国家和自治区、地区医疗保险、生育保险、医疗保障救助等医疗保障制度，贯彻执行上级医疗保障制度、法规、草案、政策、规划和标准；落实医疗保险、人身意外伤害保险、大额医疗补助、公务员医疗补助、企事业单位补充医疗保险、享受国务院特殊津贴专家、离休人员和优抚对象医疗保障政策、管理办法。</w:t>
      </w:r>
      <w:r>
        <w:rPr>
          <w:rFonts w:ascii="仿宋_GB2312" w:eastAsia="仿宋_GB2312" w:hint="eastAsia"/>
          <w:sz w:val="32"/>
          <w:szCs w:val="32"/>
          <w:highlight w:val="none"/>
        </w:rPr>
        <w:br/>
      </w:r>
      <w:r>
        <w:rPr>
          <w:rFonts w:ascii="仿宋_GB2312" w:eastAsia="仿宋_GB2312" w:hint="eastAsia"/>
          <w:sz w:val="32"/>
          <w:szCs w:val="32"/>
          <w:highlight w:val="none"/>
        </w:rPr>
        <w:t>　　（二）组织制定并实施医疗保障基金监督管理办法，建立健全医疗保障基金安全防控机制，承担推进医疗保障基金支付方式改革工作，编制市医疗保障基金预决算草案。</w:t>
      </w:r>
      <w:r>
        <w:rPr>
          <w:rFonts w:ascii="仿宋_GB2312" w:eastAsia="仿宋_GB2312" w:hint="eastAsia"/>
          <w:sz w:val="32"/>
          <w:szCs w:val="32"/>
          <w:highlight w:val="none"/>
        </w:rPr>
        <w:br/>
      </w:r>
      <w:r>
        <w:rPr>
          <w:rFonts w:ascii="仿宋_GB2312" w:eastAsia="仿宋_GB2312" w:hint="eastAsia"/>
          <w:sz w:val="32"/>
          <w:szCs w:val="32"/>
          <w:highlight w:val="none"/>
        </w:rPr>
        <w:t>　　（三）贯彻落实地区医疗保障筹资和待遇政策，完善动态调整和区域调剂平衡机制，统筹城乡医疗保障待遇标准，建立健全与筹资水平相适应的待遇调整机制。拟订贯彻长期护理保险制度改革的方案并组织实施。</w:t>
      </w:r>
      <w:r>
        <w:rPr>
          <w:rFonts w:ascii="仿宋_GB2312" w:eastAsia="仿宋_GB2312" w:hint="eastAsia"/>
          <w:sz w:val="32"/>
          <w:szCs w:val="32"/>
          <w:highlight w:val="none"/>
        </w:rPr>
        <w:br/>
      </w:r>
      <w:r>
        <w:rPr>
          <w:rFonts w:ascii="仿宋_GB2312" w:eastAsia="仿宋_GB2312" w:hint="eastAsia"/>
          <w:sz w:val="32"/>
          <w:szCs w:val="32"/>
          <w:highlight w:val="none"/>
        </w:rPr>
        <w:t>　　（四）组织拟订市药品、医用耗材价格和医疗服务项目、医疗服务设施收费等政策并监督实施，执行自治区制定的药品、医用耗材的招标采购政策并监督实施，建立医保支付医药服务价格合理确定和动态调整机制，建立市场主导的社会医药服务价格形成机制，建立医药服务价格信息监测和信息发布制度。</w:t>
      </w:r>
      <w:r>
        <w:rPr>
          <w:rFonts w:ascii="仿宋_GB2312" w:eastAsia="仿宋_GB2312" w:hint="eastAsia"/>
          <w:sz w:val="32"/>
          <w:szCs w:val="32"/>
          <w:highlight w:val="none"/>
        </w:rPr>
        <w:br/>
      </w:r>
      <w:r>
        <w:rPr>
          <w:rFonts w:ascii="仿宋_GB2312" w:eastAsia="仿宋_GB2312" w:hint="eastAsia"/>
          <w:sz w:val="32"/>
          <w:szCs w:val="32"/>
          <w:highlight w:val="none"/>
        </w:rPr>
        <w:t>　　（五）组织制定乌苏市药品、医用耗材、医疗服务项目、医疗服务设施等医保目录和支付标准，建立动态调整机制。</w:t>
      </w:r>
      <w:r>
        <w:rPr>
          <w:rFonts w:ascii="仿宋_GB2312" w:eastAsia="仿宋_GB2312" w:hint="eastAsia"/>
          <w:sz w:val="32"/>
          <w:szCs w:val="32"/>
          <w:highlight w:val="none"/>
        </w:rPr>
        <w:br/>
      </w:r>
      <w:r>
        <w:rPr>
          <w:rFonts w:ascii="仿宋_GB2312" w:eastAsia="仿宋_GB2312" w:hint="eastAsia"/>
          <w:sz w:val="32"/>
          <w:szCs w:val="32"/>
          <w:highlight w:val="none"/>
        </w:rPr>
        <w:t>　　（六）制定定点医药机构协议和支付管理办法并组织实施，建立健全医疗保障信用评价体系和信息披露制度，监督管理纳入医保范围内的医疗服务行为和医疗费用，依法查处医疗保障、生育保险领域违法违规行为。</w:t>
      </w:r>
      <w:r>
        <w:rPr>
          <w:rFonts w:ascii="仿宋_GB2312" w:eastAsia="仿宋_GB2312" w:hint="eastAsia"/>
          <w:sz w:val="32"/>
          <w:szCs w:val="32"/>
          <w:highlight w:val="none"/>
        </w:rPr>
        <w:br/>
      </w:r>
      <w:r>
        <w:rPr>
          <w:rFonts w:ascii="仿宋_GB2312" w:eastAsia="仿宋_GB2312" w:hint="eastAsia"/>
          <w:sz w:val="32"/>
          <w:szCs w:val="32"/>
          <w:highlight w:val="none"/>
        </w:rPr>
        <w:t>　　（七）负责市医疗保障经办管理、公共服务体系和信息化建设。贯彻落实国家和自治区跨省异地就医管理和费用结算政策，疆内地区异地就医和费用结算政策。建立健全乌苏市医疗保障关系转移接续制度。</w:t>
      </w:r>
      <w:r>
        <w:rPr>
          <w:rFonts w:ascii="仿宋_GB2312" w:eastAsia="仿宋_GB2312" w:hint="eastAsia"/>
          <w:sz w:val="32"/>
          <w:szCs w:val="32"/>
          <w:highlight w:val="none"/>
        </w:rPr>
        <w:br/>
      </w:r>
      <w:r>
        <w:rPr>
          <w:rFonts w:ascii="仿宋_GB2312" w:eastAsia="仿宋_GB2312" w:hint="eastAsia"/>
          <w:sz w:val="32"/>
          <w:szCs w:val="32"/>
          <w:highlight w:val="none"/>
        </w:rPr>
        <w:t>　　（八）完成市人民政府交办的其他任务。</w:t>
      </w:r>
      <w:r>
        <w:rPr>
          <w:rFonts w:ascii="仿宋_GB2312" w:eastAsia="仿宋_GB2312" w:hint="eastAsia"/>
          <w:sz w:val="32"/>
          <w:szCs w:val="32"/>
          <w:highlight w:val="none"/>
        </w:rPr>
        <w:br/>
      </w:r>
      <w:r>
        <w:rPr>
          <w:rFonts w:ascii="仿宋_GB2312" w:eastAsia="仿宋_GB2312" w:hint="eastAsia"/>
          <w:sz w:val="32"/>
          <w:szCs w:val="32"/>
          <w:highlight w:val="none"/>
        </w:rPr>
        <w:t>　　（九）职能转变。</w:t>
      </w:r>
      <w:r>
        <w:rPr>
          <w:rFonts w:ascii="仿宋_GB2312" w:eastAsia="仿宋_GB2312" w:hint="eastAsia"/>
          <w:sz w:val="32"/>
          <w:szCs w:val="32"/>
          <w:highlight w:val="none"/>
        </w:rPr>
        <w:br/>
      </w:r>
      <w:r>
        <w:rPr>
          <w:rFonts w:ascii="仿宋_GB2312" w:eastAsia="仿宋_GB2312" w:hint="eastAsia"/>
          <w:sz w:val="32"/>
          <w:szCs w:val="32"/>
          <w:highlight w:val="none"/>
        </w:rPr>
        <w:t>　　市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r>
        <w:rPr>
          <w:rFonts w:ascii="仿宋_GB2312" w:eastAsia="仿宋_GB2312" w:hint="eastAsia"/>
          <w:sz w:val="32"/>
          <w:szCs w:val="32"/>
          <w:highlight w:val="none"/>
        </w:rPr>
        <w:br/>
      </w:r>
      <w:r>
        <w:rPr>
          <w:rFonts w:ascii="仿宋_GB2312" w:eastAsia="仿宋_GB2312" w:hint="eastAsia"/>
          <w:sz w:val="32"/>
          <w:szCs w:val="32"/>
          <w:highlight w:val="none"/>
        </w:rPr>
        <w:t>　　（十）与乌苏市卫生健康委员会的有关职责分工。</w:t>
      </w:r>
      <w:r>
        <w:rPr>
          <w:rFonts w:ascii="仿宋_GB2312" w:eastAsia="仿宋_GB2312" w:hint="eastAsia"/>
          <w:sz w:val="32"/>
          <w:szCs w:val="32"/>
          <w:highlight w:val="none"/>
        </w:rPr>
        <w:br/>
      </w:r>
      <w:r>
        <w:rPr>
          <w:rFonts w:ascii="仿宋_GB2312" w:eastAsia="仿宋_GB2312" w:hint="eastAsia"/>
          <w:sz w:val="32"/>
          <w:szCs w:val="32"/>
          <w:highlight w:val="none"/>
        </w:rPr>
        <w:t>　　乌苏市卫生健康委员会、市医疗保障局等部门在医疗、医保、医药等方面加强制度、政策衔接，建立沟通协商机制，协同推进改革，提高医疗资源使用效率和医疗保障水平。</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新疆塔城地区乌苏市医疗保障局2022年度，实有人数35人，其中：在职人员35人，离休人员0人，退休人员0人。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医疗保障局部门决算包括：新疆塔城地区乌苏市医疗保障局决算。单位无下属预算单位，下设8个处室，分别是：待遇股、征缴股、复核股、基金监管股、基金财务股、办公室、稽核股、行政服务中心。</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3092"/>
      <w:bookmarkStart w:id="8" w:name="_Toc2937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收入总计551.73万元</w:t>
      </w:r>
      <w:r>
        <w:rPr>
          <w:rFonts w:ascii="仿宋_GB2312" w:eastAsia="仿宋_GB2312" w:hint="eastAsia"/>
          <w:sz w:val="32"/>
          <w:szCs w:val="32"/>
          <w:highlight w:val="none"/>
          <w:lang w:eastAsia="zh-CN"/>
        </w:rPr>
        <w:t>，其中：本年收入合计551.73万元，使用非财政拨款结余0.00万元，年初结转和结余0.00万元。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：2022年人员工资调资，基础工资增加，社保住房公积金基数调增，因此本年收入较上年增加。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本年支出总计551.73万元</w:t>
      </w:r>
      <w:r>
        <w:rPr>
          <w:rFonts w:ascii="仿宋_GB2312" w:eastAsia="仿宋_GB2312" w:hint="eastAsia"/>
          <w:sz w:val="32"/>
          <w:szCs w:val="32"/>
          <w:highlight w:val="none"/>
          <w:lang w:eastAsia="zh-CN"/>
        </w:rPr>
        <w:t>，其中：本年支出合计551.73万元，结余分配0.00万元，年末结转和结余0.00万元。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，增加14.80万元，增长2.76%，主要原因是</w:t>
      </w:r>
      <w:r>
        <w:rPr>
          <w:rFonts w:ascii="仿宋_GB2312" w:eastAsia="仿宋_GB2312" w:hint="eastAsia"/>
          <w:sz w:val="32"/>
          <w:szCs w:val="32"/>
          <w:highlight w:val="none"/>
        </w:rPr>
        <w:t>：2022年人员工资调资，基础工资增加，社保住房公积金基数调增，因此本年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2142"/>
      <w:bookmarkStart w:id="12" w:name="_Toc1979"/>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551.73万元，其中：财政拨款收入551.73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27961"/>
      <w:bookmarkStart w:id="14" w:name="_Toc1320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本年支出551.73万元，其中：基本支出532.15万元，占96.45%；项目支出19.58万元，占3.55%；上缴上级支出0.00万元，占0.00%；经营支出0.00万元，占0.00%；对附属单位补助支出0.00万元，占0.00%。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26564"/>
      <w:bookmarkStart w:id="16" w:name="_Toc4393"/>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财政拨款收入总计551.73万元，其中：年初财政拨款结转和结余0.00万元，财政拨款本年收入551.73万元。财政拨款收入总计与上年相比，增加14.80万元，增长2.76%，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2022年工资普调，基础工资增加，因此本年收入较上年增加。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财政拨款支出总计551.73万元，其中：年末财政拨款结转和结余0.00万元，财政拨款本年支出551.73万元。财政拨款支出总计与上年相比，增加14.80万元，增长2.76%，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2022年工资普调，基础工资增加，因此本年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与年初预算数相比情况：财政拨款收入总计年初预算数1,113.25万元，决算数551.73万元，预决算差异率-50.44%，</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2022年城乡居民医疗本级配套资金由财政代编入决算，本部门不体现</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因此预决算差额较大。财政拨款支出总计年初预算数1,113.25万元，决算数551.73万元，预决算差异率-50.44%，</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2022年城乡居民医疗本级配套资金由财政代编入决算，本部门不体现</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因此预决算差额较大。</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20360"/>
      <w:bookmarkStart w:id="18" w:name="_Toc13833"/>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一般公共预算财政拨款支出551.73万元，占本年支出合计的100.00%，与上年相比，增加14.80万元，增长2.76%，主要原因是：2022年工资普调，基础工资增加，因此本年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1.社会保障和就业支出（类）50.84万元，占9.21%。</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2.卫生健康支出（类）458.26万元，占83.06%。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3.农林水支出（类）3.01万元，占0.55%。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4.住房保障支出（类）33.71万元，占6.11%。</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5.其他支出（类）5.90万元，占1.07%。</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民政管理事务（款）基层政权建设和社区治理（项）：支出决算数为6.67万元，比上年决算增加6.67万元，增长100%，主要原因是：自治区“F”驻村工作队社区为民办实事工作经费，上年为其他支出科目，因此较上年有所增长。</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40.04万元，比上年决算增加3.97万元，增长11.01%，主要原因是：2022年工资普调，基本养老保险缴费基数增加，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4.13万元，比上年决算增加0.69万元，增长20.06%，主要原因是：2022年工资普调，基数有所调整，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none"/>
          <w:lang w:val="en-US" w:eastAsia="zh-CN"/>
        </w:rPr>
      </w:pPr>
      <w:r>
        <w:rPr>
          <w:rFonts w:ascii="仿宋_GB2312" w:eastAsia="仿宋_GB2312" w:hint="eastAsia"/>
          <w:sz w:val="32"/>
          <w:szCs w:val="32"/>
          <w:highlight w:val="none"/>
          <w:lang w:val="en-US" w:eastAsia="zh-CN"/>
        </w:rPr>
        <w:t>4.卫生健康支出（类）行政事业单位医疗（款）行政单位医疗（项）：支出决算数为20.65万元，比上年决算减少0.77万元，下降3.59%，主要原因是：因本年度行政事业单位医疗缴费基数有所下调，因此较上年有所下降。</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5.卫生健康支出（类）行政事业单位医疗（款）公务员医疗补助（项）：支出决算数为4.19万元，比上年决算增加0.21万元，增长5.01%，主要原因是：2022年工资普调，公务员医疗补助基数调整因此较上年增加。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医疗保障管理事务（款）行政运行（项）：支出决算数为429.42万元，比上年决算增加185.60万元，增长76.11%，主要原因是：原因是2022年工资普调，2021年绩效发放，22年11月在职人员因病去世1人，增加抚恤金，因此较上年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医疗保障管理事务（款）医疗保障经办事务（项）：支出决算数为4.00万元，比上年决算减少0.50万元，下降11.11%，主要原因是：因上级安排全民参保医疗保障经办事务经费比上年减少，所以支出较上年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农林水支出（类）农业农村（款）其他农业农村支出（项）：支出决算数为3.01万元，比上年决算增加3.01万元，增长100%，主要原因是：自治区“F”驻村工作队为民办实事工作经费，上年为其他支出科目，因此较上年增长。</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9.住房保障支出（类）住房改革支出（款）住房公积金（项）：支出决算数为33.71万元，比上年决算增加7.84万元，增长30.26%，主要原因是：2022年工资普调，住房公积金基数调整，因此较上年有所增加。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lang w:val="en-US" w:eastAsia="zh-CN"/>
        </w:rPr>
        <w:t>10.其他支出（类）其他支出（款）其他支出（项）：支出决算数为5.90万元，比上年决算增加2.19万元，增长59.03%，主要原因是：自治区“F”驻村工作队为民办实事工作经费为2022年加固防洪坝支出，所以支出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30870"/>
      <w:bookmarkStart w:id="20" w:name="_Toc11146"/>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2022年度一般公共预算财政拨款基本支出532.15万元，其中：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人员经费525.65万元，包括：基本工资、津贴补贴、奖金、机关事业单位基本养老保险缴费、职业年金缴费、职工基本医疗保险缴费、公务员医疗补助缴费、其他社会保障缴费、住房公积金、抚恤金。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公用经费6.50万元，包括：办公费、邮电费、差旅费。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7190"/>
      <w:bookmarkStart w:id="22"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财政拨款“三公”经费支出决算0.00万元，比上年增加0.00万元，增长0.00%，主要原因是：2022年我单位未安排“三公”经费预算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。其中：因公出国（境）费支出0.00万元，占0.00%，比上年增加0.00万元，增长0.00%，主要原因是：我单位无因公出国（境）费预算安排，故无因公出国（境）费支出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；公务用车购置及运行维护费支出0.00万元，占0.00%，比上年增加0.00万元，增长0.00%，主要原因是：我单位无公务用车购置及运行维护费预算安排，故无公务用车购置及运行维护费支出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；公务接待费支出0.00万元，占0.00%，比上年增加0.00万元，增长0.00%，主要原因是：我单位无公务接待费预算安排，故无公务接待费支出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因公出国（境）费支出0.00万元，开支内容包括我单位无因公出国（境）费预算安排，故无因公出国（境）费支出。单位全年安排的因公出国（境）团组0个，因公出国（境）0人次。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预算安排，故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公务接待费0.00万元，开支内容包括我单位无公务接待费预算安排，故无公务接待费开支。单位全年安排的国内公务接待0批次，0人次。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5810"/>
      <w:bookmarkStart w:id="24" w:name="_Toc7927"/>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1235"/>
      <w:bookmarkStart w:id="26" w:name="_Toc7314"/>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医疗保障局（行政单位和参照公务员法管理事业单位）机关运行经费支出6.50万元，比上年增加4.19万元，增长181.39%，主要原因是：2021年10月领导调整，部分票据未支付，2022年领导调整到位，单位经费正常支付，因此较上年增加。</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2022年度政府采购支出总额33.62万元，其中：政府采购货物支出22.99万元、政府采购工程支出0.00万元、政府采购服务支出10.63万元。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33.62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22.99</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68.3</w:t>
      </w:r>
      <w:r>
        <w:rPr>
          <w:rFonts w:ascii="仿宋_GB2312" w:eastAsia="仿宋_GB2312" w:hint="eastAsia"/>
          <w:sz w:val="32"/>
          <w:szCs w:val="32"/>
          <w:highlight w:val="none"/>
          <w:lang w:val="en-US" w:eastAsia="zh-CN"/>
        </w:rPr>
        <w:t>8%。</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29.73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11283"/>
      <w:bookmarkStart w:id="34" w:name="_Toc435"/>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3个，全年预算数19.58万元，全年执行数19.58万元。预算绩效管理取得的成效：一是强化管理推动落实部门主体责任将项目资金申请与绩效目标指标直接挂钩，建立健全了部门事中绩效跟踪监控常态化机制，及时整改纠正偏差，清理支出存量，减少低效无效，与预算执行实现“双监控”；二是强化结果应用。针对评价结果，加强预算绩效管理力度，进一步加强培训。发现的问题及原因：一是部分业务人员绩效管理意识有待增强，未能全面深入认识理解绩效管理工作的意义。绩效管理经验不足，预算绩效管理工作有待进一步落实；二是财务人员对新财务制度改革意识不强，预算编制前根据年度内单位可预见的工作任务，确定了单位年度预算目标，细化了预算指标，但是在实际支付过程中，</w:t>
      </w:r>
      <w:r>
        <w:rPr>
          <w:rFonts w:ascii="仿宋_GB2312" w:eastAsia="仿宋_GB2312" w:hint="eastAsia"/>
          <w:sz w:val="32"/>
          <w:szCs w:val="32"/>
          <w:highlight w:val="none"/>
          <w:lang w:val="en-US" w:eastAsia="zh-CN"/>
        </w:rPr>
        <w:t>个别</w:t>
      </w:r>
      <w:r>
        <w:rPr>
          <w:rFonts w:ascii="仿宋_GB2312" w:eastAsia="仿宋_GB2312" w:hint="eastAsia"/>
          <w:sz w:val="32"/>
          <w:szCs w:val="32"/>
          <w:highlight w:val="none"/>
          <w:lang w:eastAsia="zh-CN"/>
        </w:rPr>
        <w:t>时候未严格按照预算指标执行。下一步改进措施：一是加大绩效工作宣传力度，强化绩效理念。完善绩效指标，提高整体绩效目标质量。提升预算精细化管理水平，加强预算执行管理。做好事前审批、事中管理和事后监督工作，不断加快预算执行进度，推动预算执行按照资金计划有序进行；二是继续完善预算绩效管理相关工作制度，建立全过程预算绩效管理链条，有效贯彻落实全面实施绩效管理的精神，提高资金使用效益。在遵守法律法规的前提下，统筹兼顾、量力而行、讲求绩效，圆满完成党中央、自治区和地区决策部署提出的各项要求。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3250"/>
      <w:bookmarkStart w:id="36" w:name="_Toc2414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2183"/>
      <w:bookmarkStart w:id="40" w:name="_Toc6062"/>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692218"/>
    <w:rsid w:val="2FBB1A34"/>
    <w:rsid w:val="3453109D"/>
    <w:rsid w:val="355F55C7"/>
    <w:rsid w:val="520B382A"/>
    <w:rsid w:val="5B530B0F"/>
    <w:rsid w:val="7190456A"/>
    <w:rsid w:val="7CD77A84"/>
    <w:rsid w:val="7F8B5FC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2023-11-15T10:13:00Z</dcterms:created>
  <dcterms:modified xsi:type="dcterms:W3CDTF">2023-02-14T11:29:40Z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1A235B54717E48BA80B00DC5C1298435</vt:lpwstr>
  </property>
  <property fmtid="{D5CDD505-2E9C-101B-9397-08002B2CF9AE}" pid="3" name="KSOProductBuildVer">
    <vt:lpwstr>2052-11.8.2.8555</vt:lpwstr>
  </property>
</Properties>
</file>