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4.5.0 -->
  <w:body>
    <w:p>
      <w:pPr>
        <w:keepNext w:val="0"/>
        <w:keepLines w:val="0"/>
        <w:pageBreakBefore w:val="0"/>
        <w:widowControl w:val="0"/>
        <w:kinsoku/>
        <w:wordWrap/>
        <w:overflowPunct/>
        <w:topLinePunct w:val="0"/>
        <w:adjustRightInd/>
        <w:snapToGrid/>
        <w:spacing w:line="240" w:lineRule="auto"/>
        <w:jc w:val="center"/>
        <w:textAlignment w:val="auto"/>
        <w:rPr>
          <w:rFonts w:ascii="方正小标宋_GBK" w:eastAsia="方正小标宋_GBK" w:hAnsi="方正小标宋_GBK" w:hint="eastAsia"/>
          <w:sz w:val="44"/>
          <w:szCs w:val="44"/>
          <w:highlight w:val="none"/>
          <w:lang w:val="en-US" w:eastAsia="zh-CN"/>
        </w:rPr>
      </w:pPr>
      <w:r>
        <w:rPr>
          <w:rFonts w:ascii="方正小标宋_GBK" w:eastAsia="方正小标宋_GBK" w:hAnsi="方正小标宋_GBK" w:hint="eastAsia"/>
          <w:sz w:val="44"/>
          <w:szCs w:val="44"/>
          <w:highlight w:val="none"/>
          <w:lang w:val="en-US" w:eastAsia="zh-CN"/>
        </w:rPr>
        <w:t xml:space="preserve"> </w:t>
      </w:r>
      <w:bookmarkStart w:id="0" w:name="_GoBack"/>
      <w:bookmarkEnd w:id="0"/>
    </w:p>
    <w:p>
      <w:pPr>
        <w:keepNext w:val="0"/>
        <w:keepLines w:val="0"/>
        <w:pageBreakBefore w:val="0"/>
        <w:widowControl w:val="0"/>
        <w:kinsoku/>
        <w:wordWrap/>
        <w:overflowPunct/>
        <w:topLinePunct w:val="0"/>
        <w:adjustRightInd/>
        <w:snapToGrid/>
        <w:spacing w:line="240" w:lineRule="auto"/>
        <w:jc w:val="center"/>
        <w:textAlignment w:val="auto"/>
        <w:rPr>
          <w:rFonts w:ascii="方正小标宋_GBK" w:eastAsia="方正小标宋_GBK" w:hAnsi="方正小标宋_GBK" w:hint="eastAsia"/>
          <w:sz w:val="44"/>
          <w:szCs w:val="44"/>
          <w:highlight w:val="none"/>
        </w:rPr>
      </w:pPr>
    </w:p>
    <w:p>
      <w:pPr>
        <w:keepNext w:val="0"/>
        <w:keepLines w:val="0"/>
        <w:pageBreakBefore w:val="0"/>
        <w:widowControl w:val="0"/>
        <w:kinsoku/>
        <w:wordWrap/>
        <w:overflowPunct/>
        <w:topLinePunct w:val="0"/>
        <w:adjustRightInd/>
        <w:snapToGrid/>
        <w:spacing w:line="240" w:lineRule="auto"/>
        <w:jc w:val="center"/>
        <w:textAlignment w:val="auto"/>
        <w:rPr>
          <w:rFonts w:ascii="方正小标宋_GBK" w:eastAsia="方正小标宋_GBK" w:hAnsi="方正小标宋_GBK" w:hint="eastAsia"/>
          <w:sz w:val="44"/>
          <w:szCs w:val="44"/>
          <w:highlight w:val="none"/>
        </w:rPr>
      </w:pPr>
    </w:p>
    <w:p>
      <w:pPr>
        <w:keepNext w:val="0"/>
        <w:keepLines w:val="0"/>
        <w:pageBreakBefore w:val="0"/>
        <w:widowControl w:val="0"/>
        <w:kinsoku/>
        <w:wordWrap/>
        <w:overflowPunct/>
        <w:topLinePunct w:val="0"/>
        <w:adjustRightInd/>
        <w:snapToGrid/>
        <w:spacing w:line="240" w:lineRule="auto"/>
        <w:jc w:val="center"/>
        <w:textAlignment w:val="auto"/>
        <w:rPr>
          <w:rFonts w:ascii="方正小标宋_GBK" w:eastAsia="方正小标宋_GBK" w:hAnsi="方正小标宋_GBK" w:hint="eastAsia"/>
          <w:sz w:val="44"/>
          <w:szCs w:val="44"/>
          <w:highlight w:val="none"/>
        </w:rPr>
      </w:pPr>
    </w:p>
    <w:p>
      <w:pPr>
        <w:keepNext w:val="0"/>
        <w:keepLines w:val="0"/>
        <w:pageBreakBefore w:val="0"/>
        <w:widowControl w:val="0"/>
        <w:kinsoku/>
        <w:wordWrap/>
        <w:overflowPunct/>
        <w:topLinePunct w:val="0"/>
        <w:adjustRightInd/>
        <w:snapToGrid/>
        <w:spacing w:line="240" w:lineRule="auto"/>
        <w:jc w:val="center"/>
        <w:textAlignment w:val="auto"/>
        <w:rPr>
          <w:rFonts w:ascii="方正小标宋_GBK" w:eastAsia="方正小标宋_GBK" w:hAnsi="方正小标宋_GBK" w:hint="eastAsia"/>
          <w:sz w:val="44"/>
          <w:szCs w:val="44"/>
          <w:highlight w:val="none"/>
        </w:rPr>
      </w:pPr>
      <w:r>
        <w:rPr>
          <w:rFonts w:ascii="方正小标宋_GBK" w:eastAsia="方正小标宋_GBK" w:hAnsi="方正小标宋_GBK" w:hint="eastAsia"/>
          <w:sz w:val="44"/>
          <w:szCs w:val="44"/>
          <w:highlight w:val="none"/>
        </w:rPr>
        <w:t>新疆塔城地区乌苏市城市生活无着的流浪乞讨人员救助管理站2022年度部门决算公开说明</w:t>
      </w:r>
    </w:p>
    <w:p>
      <w:pPr>
        <w:keepNext w:val="0"/>
        <w:keepLines w:val="0"/>
        <w:pageBreakBefore w:val="0"/>
        <w:widowControl w:val="0"/>
        <w:kinsoku/>
        <w:wordWrap/>
        <w:overflowPunct/>
        <w:topLinePunct w:val="0"/>
        <w:autoSpaceDE/>
        <w:autoSpaceDN/>
        <w:adjustRightInd/>
        <w:snapToGrid/>
        <w:spacing w:line="240" w:lineRule="auto"/>
        <w:ind w:left="0" w:leftChars="0"/>
        <w:jc w:val="center"/>
        <w:textAlignment w:val="auto"/>
        <w:rPr>
          <w:rFonts w:ascii="仿宋_GB2312" w:eastAsia="仿宋_GB2312" w:hAnsi="仿宋_GB2312" w:cs="仿宋_GB2312" w:hint="eastAsia"/>
          <w:b w:val="0"/>
          <w:kern w:val="0"/>
          <w:sz w:val="32"/>
          <w:szCs w:val="32"/>
          <w:highlight w:val="none"/>
        </w:rPr>
      </w:pPr>
      <w:r>
        <w:rPr>
          <w:rFonts w:ascii="方正小标宋_GBK" w:eastAsia="方正小标宋_GBK" w:hAnsi="宋体" w:hint="eastAsia"/>
          <w:sz w:val="44"/>
          <w:szCs w:val="44"/>
          <w:highlight w:val="none"/>
        </w:rPr>
        <w:br w:type="page"/>
      </w:r>
      <w:r>
        <w:rPr>
          <w:rFonts w:ascii="仿宋_GB2312" w:eastAsia="仿宋_GB2312" w:hAnsi="仿宋_GB2312" w:cs="仿宋_GB2312" w:hint="eastAsia"/>
          <w:b/>
          <w:kern w:val="0"/>
          <w:sz w:val="36"/>
          <w:szCs w:val="36"/>
          <w:highlight w:val="none"/>
        </w:rPr>
        <w:t>目 录</w:t>
      </w:r>
    </w:p>
    <w:p>
      <w:pPr>
        <w:pStyle w:val="TOC1"/>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b/>
          <w:sz w:val="32"/>
          <w:szCs w:val="32"/>
        </w:rPr>
      </w:pPr>
      <w:r>
        <w:rPr>
          <w:rFonts w:ascii="仿宋_GB2312" w:eastAsia="仿宋_GB2312" w:hAnsi="仿宋_GB2312" w:cs="仿宋_GB2312" w:hint="eastAsia"/>
          <w:sz w:val="32"/>
          <w:szCs w:val="32"/>
          <w:highlight w:val="none"/>
        </w:rPr>
        <w:fldChar w:fldCharType="begin"/>
      </w:r>
      <w:r>
        <w:rPr>
          <w:rFonts w:ascii="仿宋_GB2312" w:eastAsia="仿宋_GB2312" w:hAnsi="仿宋_GB2312" w:cs="仿宋_GB2312" w:hint="eastAsia"/>
          <w:sz w:val="32"/>
          <w:szCs w:val="32"/>
          <w:highlight w:val="none"/>
        </w:rPr>
        <w:instrText>TOC \o "1-3" \n \h \u</w:instrText>
      </w:r>
      <w:r>
        <w:rPr>
          <w:rFonts w:ascii="仿宋_GB2312" w:eastAsia="仿宋_GB2312" w:hAnsi="仿宋_GB2312" w:cs="仿宋_GB2312" w:hint="eastAsia"/>
          <w:sz w:val="32"/>
          <w:szCs w:val="32"/>
          <w:highlight w:val="none"/>
        </w:rPr>
        <w:fldChar w:fldCharType="separate"/>
      </w:r>
      <w:hyperlink w:anchor="_Toc32314" w:history="1">
        <w:r>
          <w:rPr>
            <w:rFonts w:ascii="仿宋_GB2312" w:eastAsia="仿宋_GB2312" w:hAnsi="仿宋_GB2312" w:cs="仿宋_GB2312" w:hint="eastAsia"/>
            <w:b/>
            <w:sz w:val="32"/>
            <w:szCs w:val="32"/>
            <w:highlight w:val="none"/>
          </w:rPr>
          <w:t>第一部分 单位概况</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kern w:val="0"/>
            <w:sz w:val="32"/>
            <w:szCs w:val="32"/>
            <w:highlight w:val="none"/>
          </w:rPr>
          <w:t>一、主要职能</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kern w:val="0"/>
            <w:sz w:val="32"/>
            <w:szCs w:val="32"/>
            <w:highlight w:val="none"/>
          </w:rPr>
          <w:t>二、机构设置</w:t>
        </w:r>
        <w:r>
          <w:rPr>
            <w:rFonts w:ascii="仿宋_GB2312" w:eastAsia="仿宋_GB2312" w:hAnsi="仿宋_GB2312" w:cs="仿宋_GB2312" w:hint="eastAsia"/>
            <w:kern w:val="0"/>
            <w:sz w:val="32"/>
            <w:szCs w:val="32"/>
            <w:highlight w:val="none"/>
            <w:lang w:eastAsia="zh-CN"/>
          </w:rPr>
          <w:t>及人员</w:t>
        </w:r>
        <w:r>
          <w:rPr>
            <w:rFonts w:ascii="仿宋_GB2312" w:eastAsia="仿宋_GB2312" w:hAnsi="仿宋_GB2312" w:cs="仿宋_GB2312" w:hint="eastAsia"/>
            <w:kern w:val="0"/>
            <w:sz w:val="32"/>
            <w:szCs w:val="32"/>
            <w:highlight w:val="none"/>
          </w:rPr>
          <w:t>情况</w:t>
        </w:r>
      </w:hyperlink>
    </w:p>
    <w:p>
      <w:pPr>
        <w:pStyle w:val="TOC1"/>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b/>
          <w:sz w:val="32"/>
          <w:szCs w:val="32"/>
        </w:rPr>
      </w:pPr>
      <w:hyperlink w:anchor="_Toc29374" w:history="1">
        <w:r>
          <w:rPr>
            <w:rFonts w:ascii="仿宋_GB2312" w:eastAsia="仿宋_GB2312" w:hAnsi="仿宋_GB2312" w:cs="仿宋_GB2312" w:hint="eastAsia"/>
            <w:b/>
            <w:sz w:val="32"/>
            <w:szCs w:val="32"/>
            <w:highlight w:val="none"/>
          </w:rPr>
          <w:t>第二部分 部门决算情况说明</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kern w:val="0"/>
            <w:sz w:val="32"/>
            <w:szCs w:val="32"/>
            <w:highlight w:val="none"/>
          </w:rPr>
          <w:t>一、收入支出决算总体情况说明</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kern w:val="0"/>
            <w:sz w:val="32"/>
            <w:szCs w:val="32"/>
            <w:highlight w:val="none"/>
            <w:lang w:eastAsia="zh-CN"/>
          </w:rPr>
          <w:t>二、</w:t>
        </w:r>
        <w:r>
          <w:rPr>
            <w:rFonts w:ascii="仿宋_GB2312" w:eastAsia="仿宋_GB2312" w:hAnsi="仿宋_GB2312" w:cs="仿宋_GB2312" w:hint="eastAsia"/>
            <w:kern w:val="0"/>
            <w:sz w:val="32"/>
            <w:szCs w:val="32"/>
            <w:highlight w:val="none"/>
          </w:rPr>
          <w:t>收入</w:t>
        </w:r>
        <w:r>
          <w:rPr>
            <w:rFonts w:ascii="仿宋_GB2312" w:eastAsia="仿宋_GB2312" w:hAnsi="仿宋_GB2312" w:cs="仿宋_GB2312" w:hint="eastAsia"/>
            <w:kern w:val="0"/>
            <w:sz w:val="32"/>
            <w:szCs w:val="32"/>
            <w:highlight w:val="none"/>
            <w:lang w:eastAsia="zh-CN"/>
          </w:rPr>
          <w:t>决算</w:t>
        </w:r>
        <w:r>
          <w:rPr>
            <w:rFonts w:ascii="仿宋_GB2312" w:eastAsia="仿宋_GB2312" w:hAnsi="仿宋_GB2312" w:cs="仿宋_GB2312" w:hint="eastAsia"/>
            <w:kern w:val="0"/>
            <w:sz w:val="32"/>
            <w:szCs w:val="32"/>
            <w:highlight w:val="none"/>
          </w:rPr>
          <w:t>情况说明</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kern w:val="0"/>
            <w:sz w:val="32"/>
            <w:szCs w:val="32"/>
            <w:highlight w:val="none"/>
            <w:lang w:eastAsia="zh-CN"/>
          </w:rPr>
          <w:t>三、支出决算情况说明</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kern w:val="0"/>
            <w:sz w:val="32"/>
            <w:szCs w:val="32"/>
            <w:highlight w:val="none"/>
            <w:lang w:eastAsia="zh-CN"/>
          </w:rPr>
          <w:t>四、财政拨款收入支出决算总体情况说明</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kern w:val="0"/>
            <w:sz w:val="32"/>
            <w:szCs w:val="32"/>
            <w:highlight w:val="none"/>
            <w:lang w:eastAsia="zh-CN"/>
          </w:rPr>
          <w:t>五、一般公共预算财政拨款支出决算情况说明</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kern w:val="0"/>
            <w:sz w:val="32"/>
            <w:szCs w:val="32"/>
            <w:highlight w:val="none"/>
            <w:lang w:eastAsia="zh-CN"/>
          </w:rPr>
          <w:t>六、一般公共预算财政拨款基本支出决算情况说明</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kern w:val="0"/>
            <w:sz w:val="32"/>
            <w:szCs w:val="32"/>
            <w:highlight w:val="none"/>
            <w:lang w:eastAsia="zh-CN"/>
          </w:rPr>
          <w:t>七</w:t>
        </w:r>
        <w:r>
          <w:rPr>
            <w:rFonts w:ascii="仿宋_GB2312" w:eastAsia="仿宋_GB2312" w:hAnsi="仿宋_GB2312" w:cs="仿宋_GB2312" w:hint="eastAsia"/>
            <w:kern w:val="0"/>
            <w:sz w:val="32"/>
            <w:szCs w:val="32"/>
            <w:highlight w:val="none"/>
          </w:rPr>
          <w:t>、</w:t>
        </w:r>
        <w:r>
          <w:rPr>
            <w:rFonts w:ascii="仿宋_GB2312" w:eastAsia="仿宋_GB2312" w:hAnsi="仿宋_GB2312" w:cs="仿宋_GB2312" w:hint="eastAsia"/>
            <w:kern w:val="0"/>
            <w:sz w:val="32"/>
            <w:szCs w:val="32"/>
            <w:highlight w:val="none"/>
            <w:lang w:eastAsia="zh-CN"/>
          </w:rPr>
          <w:t>财政拨款</w:t>
        </w:r>
        <w:r>
          <w:rPr>
            <w:rFonts w:ascii="仿宋_GB2312" w:eastAsia="仿宋_GB2312" w:hAnsi="仿宋_GB2312" w:cs="仿宋_GB2312" w:hint="eastAsia"/>
            <w:kern w:val="0"/>
            <w:sz w:val="32"/>
            <w:szCs w:val="32"/>
            <w:highlight w:val="none"/>
          </w:rPr>
          <w:t>“三公”经费支出</w:t>
        </w:r>
        <w:r>
          <w:rPr>
            <w:rFonts w:ascii="仿宋_GB2312" w:eastAsia="仿宋_GB2312" w:hAnsi="仿宋_GB2312" w:cs="仿宋_GB2312" w:hint="eastAsia"/>
            <w:kern w:val="0"/>
            <w:sz w:val="32"/>
            <w:szCs w:val="32"/>
            <w:highlight w:val="none"/>
            <w:lang w:eastAsia="zh-CN"/>
          </w:rPr>
          <w:t>决算</w:t>
        </w:r>
        <w:r>
          <w:rPr>
            <w:rFonts w:ascii="仿宋_GB2312" w:eastAsia="仿宋_GB2312" w:hAnsi="仿宋_GB2312" w:cs="仿宋_GB2312" w:hint="eastAsia"/>
            <w:kern w:val="0"/>
            <w:sz w:val="32"/>
            <w:szCs w:val="32"/>
            <w:highlight w:val="none"/>
          </w:rPr>
          <w:t>情况</w:t>
        </w:r>
        <w:r>
          <w:rPr>
            <w:rFonts w:ascii="仿宋_GB2312" w:eastAsia="仿宋_GB2312" w:hAnsi="仿宋_GB2312" w:cs="仿宋_GB2312" w:hint="eastAsia"/>
            <w:kern w:val="0"/>
            <w:sz w:val="32"/>
            <w:szCs w:val="32"/>
            <w:highlight w:val="none"/>
            <w:lang w:eastAsia="zh-CN"/>
          </w:rPr>
          <w:t>说明</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kern w:val="0"/>
            <w:sz w:val="32"/>
            <w:szCs w:val="32"/>
            <w:highlight w:val="none"/>
            <w:lang w:eastAsia="zh-CN"/>
          </w:rPr>
          <w:t>八、政府性基金预算财政拨款收入支出决算情况说明</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kern w:val="0"/>
            <w:sz w:val="32"/>
            <w:szCs w:val="32"/>
            <w:highlight w:val="none"/>
            <w:lang w:eastAsia="zh-CN"/>
          </w:rPr>
          <w:t>九、国有资本经营预算财政拨款收入支出决算情况说明</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kern w:val="0"/>
            <w:sz w:val="32"/>
            <w:szCs w:val="32"/>
            <w:highlight w:val="none"/>
            <w:lang w:eastAsia="zh-CN"/>
          </w:rPr>
          <w:t>十</w:t>
        </w:r>
        <w:r>
          <w:rPr>
            <w:rFonts w:ascii="仿宋_GB2312" w:eastAsia="仿宋_GB2312" w:hAnsi="仿宋_GB2312" w:cs="仿宋_GB2312" w:hint="eastAsia"/>
            <w:kern w:val="0"/>
            <w:sz w:val="32"/>
            <w:szCs w:val="32"/>
            <w:highlight w:val="none"/>
          </w:rPr>
          <w:t>、其他重要事项的情况</w:t>
        </w:r>
        <w:r>
          <w:rPr>
            <w:rFonts w:ascii="仿宋_GB2312" w:eastAsia="仿宋_GB2312" w:hAnsi="仿宋_GB2312" w:cs="仿宋_GB2312" w:hint="eastAsia"/>
            <w:kern w:val="0"/>
            <w:sz w:val="32"/>
            <w:szCs w:val="32"/>
            <w:highlight w:val="none"/>
            <w:lang w:eastAsia="zh-CN"/>
          </w:rPr>
          <w:t>说明</w:t>
        </w:r>
      </w:hyperlink>
    </w:p>
    <w:p>
      <w:pPr>
        <w:pStyle w:val="TOC3"/>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highlight w:val="none"/>
            <w:lang w:eastAsia="zh-CN"/>
          </w:rPr>
          <w:t>（一）</w:t>
        </w:r>
        <w:r>
          <w:rPr>
            <w:rFonts w:ascii="仿宋_GB2312" w:eastAsia="仿宋_GB2312" w:hAnsi="仿宋_GB2312" w:cs="仿宋_GB2312" w:hint="eastAsia"/>
            <w:sz w:val="32"/>
            <w:szCs w:val="32"/>
            <w:highlight w:val="none"/>
          </w:rPr>
          <w:t>机关运行经费支出情况</w:t>
        </w:r>
      </w:hyperlink>
    </w:p>
    <w:p>
      <w:pPr>
        <w:pStyle w:val="TOC3"/>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highlight w:val="none"/>
            <w:lang w:eastAsia="zh-CN"/>
          </w:rPr>
          <w:t>（二）政府采购情况</w:t>
        </w:r>
      </w:hyperlink>
    </w:p>
    <w:p>
      <w:pPr>
        <w:pStyle w:val="TOC3"/>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highlight w:val="none"/>
            <w:lang w:eastAsia="zh-CN"/>
          </w:rPr>
          <w:t>（三）国有资产占用情况说明</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kern w:val="0"/>
            <w:sz w:val="32"/>
            <w:szCs w:val="32"/>
            <w:highlight w:val="none"/>
            <w:lang w:eastAsia="zh-CN"/>
          </w:rPr>
          <w:t>十一、预算绩效的情况说明</w:t>
        </w:r>
      </w:hyperlink>
    </w:p>
    <w:p>
      <w:pPr>
        <w:pStyle w:val="TOC1"/>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b/>
          <w:sz w:val="32"/>
          <w:szCs w:val="32"/>
        </w:rPr>
      </w:pPr>
      <w:hyperlink w:anchor="_Toc3250" w:history="1">
        <w:r>
          <w:rPr>
            <w:rFonts w:ascii="仿宋_GB2312" w:eastAsia="仿宋_GB2312" w:hAnsi="仿宋_GB2312" w:cs="仿宋_GB2312" w:hint="eastAsia"/>
            <w:b/>
            <w:sz w:val="32"/>
            <w:szCs w:val="32"/>
            <w:highlight w:val="none"/>
          </w:rPr>
          <w:t>第三部分 专业名词解释</w:t>
        </w:r>
      </w:hyperlink>
    </w:p>
    <w:p>
      <w:pPr>
        <w:pStyle w:val="TOC1"/>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b/>
          <w:sz w:val="32"/>
          <w:szCs w:val="32"/>
        </w:rPr>
      </w:pPr>
      <w:hyperlink w:anchor="_Toc22784" w:history="1">
        <w:r>
          <w:rPr>
            <w:rFonts w:ascii="仿宋_GB2312" w:eastAsia="仿宋_GB2312" w:hAnsi="仿宋_GB2312" w:cs="仿宋_GB2312" w:hint="eastAsia"/>
            <w:b/>
            <w:sz w:val="32"/>
            <w:szCs w:val="32"/>
            <w:highlight w:val="none"/>
          </w:rPr>
          <w:t>第四部分 部门决算报表（见附表）</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kern w:val="0"/>
            <w:sz w:val="32"/>
            <w:szCs w:val="32"/>
            <w:highlight w:val="none"/>
          </w:rPr>
          <w:t>一、《收入支出决算总表》</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kern w:val="0"/>
            <w:sz w:val="32"/>
            <w:szCs w:val="32"/>
            <w:highlight w:val="none"/>
          </w:rPr>
          <w:t>二、《收入决算表》</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kern w:val="0"/>
            <w:sz w:val="32"/>
            <w:szCs w:val="32"/>
            <w:highlight w:val="none"/>
          </w:rPr>
          <w:t>三、《支出决算表》</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kern w:val="0"/>
            <w:sz w:val="32"/>
            <w:szCs w:val="32"/>
            <w:highlight w:val="none"/>
          </w:rPr>
          <w:t>四、《财政拨款收入支出决算总表》</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kern w:val="0"/>
            <w:sz w:val="32"/>
            <w:szCs w:val="32"/>
            <w:highlight w:val="none"/>
          </w:rPr>
          <w:t>五、《一般公共预算财政拨款支出决算表》</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kern w:val="0"/>
            <w:sz w:val="32"/>
            <w:szCs w:val="32"/>
            <w:highlight w:val="none"/>
          </w:rPr>
          <w:t>六、《一般公共预算财政拨款基本支出决算表》</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kern w:val="0"/>
            <w:sz w:val="32"/>
            <w:szCs w:val="32"/>
            <w:highlight w:val="none"/>
          </w:rPr>
          <w:t>七、《财政拨款“三公”经费支出决算表》</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7643" w:history="1">
        <w:r>
          <w:rPr>
            <w:rFonts w:ascii="仿宋_GB2312" w:eastAsia="仿宋_GB2312" w:hAnsi="仿宋_GB2312" w:cs="仿宋_GB2312" w:hint="eastAsia"/>
            <w:kern w:val="0"/>
            <w:sz w:val="32"/>
            <w:szCs w:val="32"/>
            <w:highlight w:val="none"/>
          </w:rPr>
          <w:t>八、《政府性基金预算财政拨款收入支出决算表》</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7643" w:history="1">
        <w:r>
          <w:rPr>
            <w:rFonts w:ascii="仿宋_GB2312" w:eastAsia="仿宋_GB2312" w:hAnsi="仿宋_GB2312" w:cs="仿宋_GB2312" w:hint="eastAsia"/>
            <w:kern w:val="0"/>
            <w:sz w:val="32"/>
            <w:szCs w:val="32"/>
            <w:highlight w:val="none"/>
          </w:rPr>
          <w:t>九、《国有资本经营预算财政拨款收入支出决算表》</w:t>
        </w:r>
      </w:hyperlink>
    </w:p>
    <w:p>
      <w:pPr>
        <w:keepNext w:val="0"/>
        <w:keepLines w:val="0"/>
        <w:pageBreakBefore w:val="0"/>
        <w:widowControl w:val="0"/>
        <w:kinsoku/>
        <w:wordWrap/>
        <w:overflowPunct/>
        <w:topLinePunct w:val="0"/>
        <w:autoSpaceDE/>
        <w:autoSpaceDN/>
        <w:adjustRightInd/>
        <w:snapToGrid/>
        <w:ind w:left="0" w:leftChars="0"/>
        <w:jc w:val="both"/>
        <w:textAlignment w:val="auto"/>
        <w:rPr>
          <w:highlight w:val="none"/>
        </w:rPr>
      </w:pPr>
      <w:r>
        <w:rPr>
          <w:rFonts w:ascii="仿宋_GB2312" w:eastAsia="仿宋_GB2312" w:hAnsi="仿宋_GB2312" w:cs="仿宋_GB2312" w:hint="eastAsia"/>
          <w:sz w:val="32"/>
          <w:szCs w:val="32"/>
          <w:highlight w:val="none"/>
        </w:rPr>
        <w:fldChar w:fldCharType="end"/>
      </w:r>
    </w:p>
    <w:p>
      <w:pPr>
        <w:keepNext w:val="0"/>
        <w:keepLines w:val="0"/>
        <w:pageBreakBefore w:val="0"/>
        <w:widowControl w:val="0"/>
        <w:kinsoku/>
        <w:wordWrap/>
        <w:overflowPunct/>
        <w:topLinePunct w:val="0"/>
        <w:autoSpaceDE/>
        <w:autoSpaceDN/>
        <w:adjustRightInd/>
        <w:snapToGrid/>
        <w:spacing w:line="240" w:lineRule="auto"/>
        <w:ind w:firstLine="640" w:firstLineChars="200"/>
        <w:jc w:val="center"/>
        <w:textAlignment w:val="auto"/>
        <w:outlineLvl w:val="0"/>
        <w:rPr>
          <w:rFonts w:ascii="黑体" w:eastAsia="黑体" w:hAnsi="黑体" w:hint="eastAsia"/>
          <w:sz w:val="32"/>
          <w:szCs w:val="32"/>
          <w:highlight w:val="none"/>
        </w:rPr>
      </w:pPr>
      <w:r>
        <w:rPr>
          <w:rFonts w:ascii="仿宋_GB2312" w:eastAsia="仿宋_GB2312" w:hint="eastAsia"/>
          <w:sz w:val="32"/>
          <w:szCs w:val="32"/>
          <w:highlight w:val="none"/>
        </w:rPr>
        <w:br w:type="page"/>
      </w:r>
      <w:bookmarkStart w:id="1" w:name="_Toc24028"/>
      <w:bookmarkStart w:id="2" w:name="_Toc32314"/>
      <w:r>
        <w:rPr>
          <w:rFonts w:ascii="黑体" w:eastAsia="黑体" w:hAnsi="黑体" w:hint="eastAsia"/>
          <w:sz w:val="32"/>
          <w:szCs w:val="32"/>
          <w:highlight w:val="none"/>
        </w:rPr>
        <w:t>第一部分 单位概况</w:t>
      </w:r>
      <w:bookmarkEnd w:id="1"/>
      <w:bookmarkEnd w:id="2"/>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default"/>
          <w:kern w:val="0"/>
          <w:sz w:val="32"/>
          <w:szCs w:val="32"/>
          <w:highlight w:val="none"/>
        </w:rPr>
      </w:pPr>
      <w:bookmarkStart w:id="3" w:name="_Toc30567"/>
      <w:bookmarkStart w:id="4" w:name="_Toc30738"/>
      <w:r>
        <w:rPr>
          <w:rFonts w:ascii="黑体" w:eastAsia="黑体" w:hAnsi="黑体" w:cs="宋体" w:hint="eastAsia"/>
          <w:kern w:val="0"/>
          <w:sz w:val="32"/>
          <w:szCs w:val="32"/>
          <w:highlight w:val="none"/>
        </w:rPr>
        <w:t>一、主要职能</w:t>
      </w:r>
      <w:bookmarkEnd w:id="3"/>
      <w:bookmarkEnd w:id="4"/>
    </w:p>
    <w:p>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rPr>
        <w:t>乌苏市城市生活无着的流浪乞讨人员救助站于2016年10月底由乌苏市北京西路搬迁至乌苏市金沙江东路1206号民政福利园区与乌苏市社会福利院、乌苏市中心敬老院、乌苏市儿童福利院 简称“三院一站”均位于民政福利园区院内。属4个牌子一套人马。主要具有以下职能：</w:t>
      </w:r>
      <w:r>
        <w:rPr>
          <w:rFonts w:ascii="仿宋_GB2312" w:eastAsia="仿宋_GB2312" w:hint="eastAsia"/>
          <w:sz w:val="32"/>
          <w:szCs w:val="32"/>
          <w:highlight w:val="none"/>
        </w:rPr>
        <w:br/>
      </w:r>
      <w:r>
        <w:rPr>
          <w:rFonts w:ascii="仿宋_GB2312" w:eastAsia="仿宋_GB2312" w:hint="eastAsia"/>
          <w:sz w:val="32"/>
          <w:szCs w:val="32"/>
          <w:highlight w:val="none"/>
        </w:rPr>
        <w:t>　　流浪乞讨按照国家有关政策,对人员进行救助。</w:t>
      </w:r>
      <w:r>
        <w:rPr>
          <w:rFonts w:ascii="仿宋_GB2312" w:eastAsia="仿宋_GB2312" w:hint="eastAsia"/>
          <w:sz w:val="32"/>
          <w:szCs w:val="32"/>
          <w:highlight w:val="none"/>
        </w:rPr>
        <w:br/>
      </w:r>
      <w:r>
        <w:rPr>
          <w:rFonts w:ascii="仿宋_GB2312" w:eastAsia="仿宋_GB2312" w:hint="eastAsia"/>
          <w:sz w:val="32"/>
          <w:szCs w:val="32"/>
          <w:highlight w:val="none"/>
        </w:rPr>
        <w:t>　　（一）提供符合食品卫生要求的食物；</w:t>
      </w:r>
      <w:r>
        <w:rPr>
          <w:rFonts w:ascii="仿宋_GB2312" w:eastAsia="仿宋_GB2312" w:hint="eastAsia"/>
          <w:sz w:val="32"/>
          <w:szCs w:val="32"/>
          <w:highlight w:val="none"/>
        </w:rPr>
        <w:br/>
      </w:r>
      <w:r>
        <w:rPr>
          <w:rFonts w:ascii="仿宋_GB2312" w:eastAsia="仿宋_GB2312" w:hint="eastAsia"/>
          <w:sz w:val="32"/>
          <w:szCs w:val="32"/>
          <w:highlight w:val="none"/>
        </w:rPr>
        <w:t>　　（二）提供符合基本条件的住处；</w:t>
      </w:r>
      <w:r>
        <w:rPr>
          <w:rFonts w:ascii="仿宋_GB2312" w:eastAsia="仿宋_GB2312" w:hint="eastAsia"/>
          <w:sz w:val="32"/>
          <w:szCs w:val="32"/>
          <w:highlight w:val="none"/>
        </w:rPr>
        <w:br/>
      </w:r>
      <w:r>
        <w:rPr>
          <w:rFonts w:ascii="仿宋_GB2312" w:eastAsia="仿宋_GB2312" w:hint="eastAsia"/>
          <w:sz w:val="32"/>
          <w:szCs w:val="32"/>
          <w:highlight w:val="none"/>
        </w:rPr>
        <w:t>　　（三）对在站内突发急病的，及时送医院救治；</w:t>
      </w:r>
      <w:r>
        <w:rPr>
          <w:rFonts w:ascii="仿宋_GB2312" w:eastAsia="仿宋_GB2312" w:hint="eastAsia"/>
          <w:sz w:val="32"/>
          <w:szCs w:val="32"/>
          <w:highlight w:val="none"/>
        </w:rPr>
        <w:br/>
      </w:r>
      <w:r>
        <w:rPr>
          <w:rFonts w:ascii="仿宋_GB2312" w:eastAsia="仿宋_GB2312" w:hint="eastAsia"/>
          <w:sz w:val="32"/>
          <w:szCs w:val="32"/>
          <w:highlight w:val="none"/>
        </w:rPr>
        <w:t>　　（四）帮助与其亲属或者所在单位联系；</w:t>
      </w:r>
      <w:r>
        <w:rPr>
          <w:rFonts w:ascii="仿宋_GB2312" w:eastAsia="仿宋_GB2312" w:hint="eastAsia"/>
          <w:sz w:val="32"/>
          <w:szCs w:val="32"/>
          <w:highlight w:val="none"/>
        </w:rPr>
        <w:br/>
      </w:r>
      <w:r>
        <w:rPr>
          <w:rFonts w:ascii="仿宋_GB2312" w:eastAsia="仿宋_GB2312" w:hint="eastAsia"/>
          <w:sz w:val="32"/>
          <w:szCs w:val="32"/>
          <w:highlight w:val="none"/>
        </w:rPr>
        <w:t>　　（五）对没有交通费返回其住所地或者所在单位的，提供乘车凭证</w:t>
      </w:r>
      <w:r>
        <w:rPr>
          <w:rFonts w:ascii="仿宋_GB2312" w:eastAsia="仿宋_GB2312" w:hint="eastAsia"/>
          <w:sz w:val="32"/>
          <w:szCs w:val="32"/>
          <w:highlight w:val="none"/>
          <w:lang w:eastAsia="zh-CN"/>
        </w:rPr>
        <w:t>。</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rPr>
      </w:pPr>
      <w:bookmarkStart w:id="5" w:name="_Toc31238"/>
      <w:bookmarkStart w:id="6" w:name="_Toc2151"/>
      <w:r>
        <w:rPr>
          <w:rFonts w:ascii="黑体" w:eastAsia="黑体" w:hAnsi="黑体" w:cs="宋体" w:hint="eastAsia"/>
          <w:kern w:val="0"/>
          <w:sz w:val="32"/>
          <w:szCs w:val="32"/>
          <w:highlight w:val="none"/>
        </w:rPr>
        <w:t>二、机构设置</w:t>
      </w:r>
      <w:r>
        <w:rPr>
          <w:rFonts w:ascii="黑体" w:eastAsia="黑体" w:hAnsi="黑体" w:cs="宋体" w:hint="eastAsia"/>
          <w:kern w:val="0"/>
          <w:sz w:val="32"/>
          <w:szCs w:val="32"/>
          <w:highlight w:val="none"/>
          <w:lang w:eastAsia="zh-CN"/>
        </w:rPr>
        <w:t>及</w:t>
      </w:r>
      <w:bookmarkEnd w:id="5"/>
      <w:r>
        <w:rPr>
          <w:rFonts w:ascii="黑体" w:eastAsia="黑体" w:hAnsi="黑体" w:cs="宋体" w:hint="eastAsia"/>
          <w:kern w:val="0"/>
          <w:sz w:val="32"/>
          <w:szCs w:val="32"/>
          <w:highlight w:val="none"/>
          <w:lang w:eastAsia="zh-CN"/>
        </w:rPr>
        <w:t>人员</w:t>
      </w:r>
      <w:r>
        <w:rPr>
          <w:rFonts w:ascii="黑体" w:eastAsia="黑体" w:hAnsi="黑体" w:cs="宋体" w:hint="eastAsia"/>
          <w:kern w:val="0"/>
          <w:sz w:val="32"/>
          <w:szCs w:val="32"/>
          <w:highlight w:val="none"/>
        </w:rPr>
        <w:t>情况</w:t>
      </w:r>
      <w:bookmarkEnd w:id="6"/>
    </w:p>
    <w:p>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ascii="仿宋_GB2312" w:eastAsia="仿宋_GB2312" w:hint="eastAsia"/>
          <w:sz w:val="32"/>
          <w:szCs w:val="32"/>
          <w:highlight w:val="none"/>
        </w:rPr>
      </w:pPr>
      <w:r>
        <w:rPr>
          <w:rFonts w:ascii="仿宋_GB2312" w:eastAsia="仿宋_GB2312" w:hint="eastAsia"/>
          <w:sz w:val="32"/>
          <w:szCs w:val="32"/>
          <w:highlight w:val="none"/>
        </w:rPr>
        <w:t>新疆塔城地区乌苏市城市生活无着的流浪乞讨人员救助管理站2022年度，实有人数4人，其中：在职人员4人，离休人员0人，退休人员0人。</w:t>
      </w:r>
    </w:p>
    <w:p>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eastAsia="zh-CN"/>
        </w:rPr>
        <w:t>从部门决算单位构成看，新疆塔城地区乌苏市城市生活无着的流浪乞讨人员救助管理站部门决算包括：新疆塔城地区乌苏市城市生活无着的流浪乞讨人员救助管理站决算。单位无下属预算单位，下设1个处室，分别是：办公室。</w:t>
      </w:r>
    </w:p>
    <w:p>
      <w:pPr>
        <w:keepNext w:val="0"/>
        <w:keepLines w:val="0"/>
        <w:pageBreakBefore w:val="0"/>
        <w:widowControl w:val="0"/>
        <w:kinsoku/>
        <w:wordWrap/>
        <w:overflowPunct/>
        <w:topLinePunct w:val="0"/>
        <w:autoSpaceDE/>
        <w:autoSpaceDN/>
        <w:adjustRightInd/>
        <w:snapToGrid/>
        <w:spacing w:line="240" w:lineRule="auto"/>
        <w:ind w:firstLine="560" w:firstLineChars="200"/>
        <w:jc w:val="center"/>
        <w:textAlignment w:val="auto"/>
        <w:outlineLvl w:val="0"/>
        <w:rPr>
          <w:rFonts w:ascii="黑体" w:eastAsia="黑体" w:hAnsi="黑体" w:hint="eastAsia"/>
          <w:sz w:val="32"/>
          <w:szCs w:val="32"/>
          <w:highlight w:val="none"/>
        </w:rPr>
      </w:pPr>
      <w:bookmarkStart w:id="7" w:name="_Toc3092"/>
      <w:bookmarkStart w:id="8" w:name="_Toc29374"/>
      <w:r>
        <w:rPr>
          <w:rFonts w:ascii="黑体" w:hint="default"/>
          <w:b/>
          <w:kern w:val="44"/>
          <w:sz w:val="28"/>
        </w:rPr>
        <w:br w:type="page"/>
      </w:r>
      <w:r>
        <w:rPr>
          <w:rFonts w:ascii="黑体" w:hint="default"/>
          <w:b/>
          <w:spacing w:val="40"/>
          <w:sz w:val="28"/>
        </w:rPr>
        <w:t xml:space="preserve"> </w:t>
      </w:r>
      <w:r>
        <w:rPr>
          <w:rFonts w:ascii="黑体" w:eastAsia="黑体" w:hAnsi="黑体" w:hint="eastAsia"/>
          <w:sz w:val="32"/>
          <w:szCs w:val="32"/>
          <w:highlight w:val="none"/>
        </w:rPr>
        <w:t>第二部分 部门决算情况说明</w:t>
      </w:r>
      <w:bookmarkEnd w:id="7"/>
      <w:bookmarkEnd w:id="8"/>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rPr>
      </w:pPr>
      <w:bookmarkStart w:id="9" w:name="_Toc25314"/>
      <w:bookmarkStart w:id="10" w:name="_Toc12566"/>
      <w:r>
        <w:rPr>
          <w:rFonts w:ascii="黑体" w:eastAsia="黑体" w:hAnsi="黑体" w:cs="宋体" w:hint="eastAsia"/>
          <w:kern w:val="0"/>
          <w:sz w:val="32"/>
          <w:szCs w:val="32"/>
          <w:highlight w:val="none"/>
        </w:rPr>
        <w:t>一、收入支出决算总体情况说明</w:t>
      </w:r>
      <w:bookmarkEnd w:id="9"/>
      <w:bookmarkEnd w:id="10"/>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pacing w:val="0"/>
          <w:sz w:val="32"/>
          <w:szCs w:val="32"/>
          <w:highlight w:val="none"/>
        </w:rPr>
        <w:t>2022</w:t>
      </w:r>
      <w:r>
        <w:rPr>
          <w:rFonts w:ascii="仿宋_GB2312" w:eastAsia="仿宋_GB2312" w:hint="eastAsia"/>
          <w:spacing w:val="0"/>
          <w:sz w:val="32"/>
          <w:szCs w:val="32"/>
          <w:highlight w:val="none"/>
          <w:lang w:eastAsia="zh-CN"/>
        </w:rPr>
        <w:t>年度</w:t>
      </w:r>
      <w:r>
        <w:rPr>
          <w:rFonts w:ascii="仿宋_GB2312" w:eastAsia="仿宋_GB2312" w:hint="eastAsia"/>
          <w:sz w:val="32"/>
          <w:szCs w:val="32"/>
          <w:highlight w:val="none"/>
        </w:rPr>
        <w:t>收入总计58.71万元</w:t>
      </w:r>
      <w:r>
        <w:rPr>
          <w:rFonts w:ascii="仿宋_GB2312" w:eastAsia="仿宋_GB2312" w:hint="eastAsia"/>
          <w:sz w:val="32"/>
          <w:szCs w:val="32"/>
          <w:highlight w:val="none"/>
          <w:lang w:eastAsia="zh-CN"/>
        </w:rPr>
        <w:t>，其中：本年收入合计58.71万元，使用非财政拨款结余0.00万元，年初结转和结余0.00万元。</w:t>
      </w:r>
      <w:r>
        <w:rPr>
          <w:rFonts w:ascii="仿宋_GB2312" w:eastAsia="仿宋_GB2312" w:hint="eastAsia"/>
          <w:sz w:val="32"/>
          <w:szCs w:val="32"/>
          <w:highlight w:val="none"/>
        </w:rPr>
        <w:t>收入总计与上年相比</w:t>
      </w:r>
      <w:r>
        <w:rPr>
          <w:rFonts w:ascii="仿宋_GB2312" w:eastAsia="仿宋_GB2312" w:hint="eastAsia"/>
          <w:sz w:val="32"/>
          <w:szCs w:val="32"/>
          <w:highlight w:val="none"/>
          <w:lang w:eastAsia="zh-CN"/>
        </w:rPr>
        <w:t>，</w:t>
      </w:r>
      <w:r>
        <w:rPr>
          <w:rFonts w:ascii="仿宋_GB2312" w:eastAsia="仿宋_GB2312" w:hint="eastAsia"/>
          <w:sz w:val="32"/>
          <w:szCs w:val="32"/>
          <w:highlight w:val="none"/>
        </w:rPr>
        <w:t>增加19.30万元，增长48.97%</w:t>
      </w:r>
      <w:r>
        <w:rPr>
          <w:rFonts w:ascii="仿宋_GB2312" w:eastAsia="仿宋_GB2312" w:hint="eastAsia"/>
          <w:sz w:val="32"/>
          <w:szCs w:val="32"/>
          <w:highlight w:val="none"/>
          <w:lang w:eastAsia="zh-CN"/>
        </w:rPr>
        <w:t>，主要原因是</w:t>
      </w:r>
      <w:r>
        <w:rPr>
          <w:rFonts w:ascii="仿宋_GB2312" w:eastAsia="仿宋_GB2312" w:hint="eastAsia"/>
          <w:sz w:val="32"/>
          <w:szCs w:val="32"/>
          <w:highlight w:val="none"/>
        </w:rPr>
        <w:t>：本年度工资调标</w:t>
      </w:r>
      <w:r>
        <w:rPr>
          <w:rFonts w:ascii="仿宋_GB2312" w:eastAsia="仿宋_GB2312" w:hint="eastAsia"/>
          <w:sz w:val="32"/>
          <w:szCs w:val="32"/>
          <w:highlight w:val="none"/>
          <w:lang w:eastAsia="zh-CN"/>
        </w:rPr>
        <w:t>、</w:t>
      </w:r>
      <w:r>
        <w:rPr>
          <w:rFonts w:ascii="仿宋_GB2312" w:eastAsia="仿宋_GB2312" w:hint="eastAsia"/>
          <w:sz w:val="32"/>
          <w:szCs w:val="32"/>
          <w:highlight w:val="none"/>
        </w:rPr>
        <w:t>普调</w:t>
      </w:r>
      <w:r>
        <w:rPr>
          <w:rFonts w:ascii="仿宋_GB2312" w:eastAsia="仿宋_GB2312" w:hint="eastAsia"/>
          <w:sz w:val="32"/>
          <w:szCs w:val="32"/>
          <w:highlight w:val="none"/>
          <w:lang w:eastAsia="zh-CN"/>
        </w:rPr>
        <w:t>、</w:t>
      </w:r>
      <w:r>
        <w:rPr>
          <w:rFonts w:ascii="仿宋_GB2312" w:eastAsia="仿宋_GB2312" w:hint="eastAsia"/>
          <w:sz w:val="32"/>
          <w:szCs w:val="32"/>
          <w:highlight w:val="none"/>
        </w:rPr>
        <w:t>发放绩效奖励</w:t>
      </w:r>
      <w:r>
        <w:rPr>
          <w:rFonts w:ascii="仿宋_GB2312" w:eastAsia="仿宋_GB2312" w:hint="eastAsia"/>
          <w:sz w:val="32"/>
          <w:szCs w:val="32"/>
          <w:highlight w:val="none"/>
          <w:lang w:eastAsia="zh-CN"/>
        </w:rPr>
        <w:t>工资，</w:t>
      </w:r>
      <w:r>
        <w:rPr>
          <w:rFonts w:ascii="仿宋_GB2312" w:eastAsia="仿宋_GB2312" w:hint="eastAsia"/>
          <w:sz w:val="32"/>
          <w:szCs w:val="32"/>
          <w:highlight w:val="none"/>
        </w:rPr>
        <w:t>补发以前年度大绩效，因此收入比上年增加。</w:t>
      </w:r>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pacing w:val="0"/>
          <w:sz w:val="32"/>
          <w:szCs w:val="32"/>
          <w:highlight w:val="none"/>
        </w:rPr>
        <w:t>本年支出总计58.71万元</w:t>
      </w:r>
      <w:r>
        <w:rPr>
          <w:rFonts w:ascii="仿宋_GB2312" w:eastAsia="仿宋_GB2312" w:hint="eastAsia"/>
          <w:sz w:val="32"/>
          <w:szCs w:val="32"/>
          <w:highlight w:val="none"/>
          <w:lang w:eastAsia="zh-CN"/>
        </w:rPr>
        <w:t>，其中：本年支出合计58.71万元，结余分配0.00万元，年末结转和结余0.00万元。</w:t>
      </w:r>
      <w:r>
        <w:rPr>
          <w:rFonts w:ascii="仿宋_GB2312" w:eastAsia="仿宋_GB2312" w:hint="eastAsia"/>
          <w:sz w:val="32"/>
          <w:szCs w:val="32"/>
          <w:highlight w:val="none"/>
        </w:rPr>
        <w:t>支出总计与上年相比</w:t>
      </w:r>
      <w:r>
        <w:rPr>
          <w:rFonts w:ascii="仿宋_GB2312" w:eastAsia="仿宋_GB2312" w:hint="eastAsia"/>
          <w:sz w:val="32"/>
          <w:szCs w:val="32"/>
          <w:highlight w:val="none"/>
          <w:lang w:eastAsia="zh-CN"/>
        </w:rPr>
        <w:t>，增加19.30万元，增长48.97%，主要原因是</w:t>
      </w:r>
      <w:r>
        <w:rPr>
          <w:rFonts w:ascii="仿宋_GB2312" w:eastAsia="仿宋_GB2312" w:hint="eastAsia"/>
          <w:sz w:val="32"/>
          <w:szCs w:val="32"/>
          <w:highlight w:val="none"/>
        </w:rPr>
        <w:t>：本年度工资调标</w:t>
      </w:r>
      <w:r>
        <w:rPr>
          <w:rFonts w:ascii="仿宋_GB2312" w:eastAsia="仿宋_GB2312" w:hint="eastAsia"/>
          <w:sz w:val="32"/>
          <w:szCs w:val="32"/>
          <w:highlight w:val="none"/>
          <w:lang w:eastAsia="zh-CN"/>
        </w:rPr>
        <w:t>、</w:t>
      </w:r>
      <w:r>
        <w:rPr>
          <w:rFonts w:ascii="仿宋_GB2312" w:eastAsia="仿宋_GB2312" w:hint="eastAsia"/>
          <w:sz w:val="32"/>
          <w:szCs w:val="32"/>
          <w:highlight w:val="none"/>
        </w:rPr>
        <w:t>普调</w:t>
      </w:r>
      <w:r>
        <w:rPr>
          <w:rFonts w:ascii="仿宋_GB2312" w:eastAsia="仿宋_GB2312" w:hint="eastAsia"/>
          <w:sz w:val="32"/>
          <w:szCs w:val="32"/>
          <w:highlight w:val="none"/>
          <w:lang w:eastAsia="zh-CN"/>
        </w:rPr>
        <w:t>、</w:t>
      </w:r>
      <w:r>
        <w:rPr>
          <w:rFonts w:ascii="仿宋_GB2312" w:eastAsia="仿宋_GB2312" w:hint="eastAsia"/>
          <w:sz w:val="32"/>
          <w:szCs w:val="32"/>
          <w:highlight w:val="none"/>
        </w:rPr>
        <w:t>发放绩效奖励</w:t>
      </w:r>
      <w:r>
        <w:rPr>
          <w:rFonts w:ascii="仿宋_GB2312" w:eastAsia="仿宋_GB2312" w:hint="eastAsia"/>
          <w:sz w:val="32"/>
          <w:szCs w:val="32"/>
          <w:highlight w:val="none"/>
          <w:lang w:eastAsia="zh-CN"/>
        </w:rPr>
        <w:t>工资，</w:t>
      </w:r>
      <w:r>
        <w:rPr>
          <w:rFonts w:ascii="仿宋_GB2312" w:eastAsia="仿宋_GB2312" w:hint="eastAsia"/>
          <w:sz w:val="32"/>
          <w:szCs w:val="32"/>
          <w:highlight w:val="none"/>
        </w:rPr>
        <w:t>补发以前年度大绩效，因此</w:t>
      </w:r>
      <w:r>
        <w:rPr>
          <w:rFonts w:ascii="仿宋_GB2312" w:eastAsia="仿宋_GB2312" w:hint="eastAsia"/>
          <w:sz w:val="32"/>
          <w:szCs w:val="32"/>
          <w:highlight w:val="none"/>
          <w:lang w:eastAsia="zh-CN"/>
        </w:rPr>
        <w:t>支出</w:t>
      </w:r>
      <w:r>
        <w:rPr>
          <w:rFonts w:ascii="仿宋_GB2312" w:eastAsia="仿宋_GB2312" w:hint="eastAsia"/>
          <w:sz w:val="32"/>
          <w:szCs w:val="32"/>
          <w:highlight w:val="none"/>
        </w:rPr>
        <w:t>比上年增加。</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rPr>
      </w:pPr>
      <w:bookmarkStart w:id="11" w:name="_Toc1979"/>
      <w:bookmarkStart w:id="12" w:name="_Toc12142"/>
      <w:r>
        <w:rPr>
          <w:rFonts w:ascii="黑体" w:eastAsia="黑体" w:hAnsi="黑体" w:cs="宋体" w:hint="eastAsia"/>
          <w:kern w:val="0"/>
          <w:sz w:val="32"/>
          <w:szCs w:val="32"/>
          <w:highlight w:val="none"/>
          <w:lang w:eastAsia="zh-CN"/>
        </w:rPr>
        <w:t>二、</w:t>
      </w:r>
      <w:r>
        <w:rPr>
          <w:rFonts w:ascii="黑体" w:eastAsia="黑体" w:hAnsi="黑体" w:cs="宋体" w:hint="eastAsia"/>
          <w:kern w:val="0"/>
          <w:sz w:val="32"/>
          <w:szCs w:val="32"/>
          <w:highlight w:val="none"/>
        </w:rPr>
        <w:t>收入</w:t>
      </w:r>
      <w:r>
        <w:rPr>
          <w:rFonts w:ascii="黑体" w:eastAsia="黑体" w:hAnsi="黑体" w:cs="宋体" w:hint="eastAsia"/>
          <w:kern w:val="0"/>
          <w:sz w:val="32"/>
          <w:szCs w:val="32"/>
          <w:highlight w:val="none"/>
          <w:lang w:eastAsia="zh-CN"/>
        </w:rPr>
        <w:t>决算</w:t>
      </w:r>
      <w:r>
        <w:rPr>
          <w:rFonts w:ascii="黑体" w:eastAsia="黑体" w:hAnsi="黑体" w:cs="宋体" w:hint="eastAsia"/>
          <w:kern w:val="0"/>
          <w:sz w:val="32"/>
          <w:szCs w:val="32"/>
          <w:highlight w:val="none"/>
        </w:rPr>
        <w:t>情况说明</w:t>
      </w:r>
      <w:bookmarkEnd w:id="11"/>
      <w:bookmarkEnd w:id="12"/>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pacing w:val="0"/>
          <w:sz w:val="32"/>
          <w:szCs w:val="32"/>
          <w:highlight w:val="none"/>
        </w:rPr>
        <w:t>2022</w:t>
      </w:r>
      <w:r>
        <w:rPr>
          <w:rFonts w:ascii="仿宋_GB2312" w:eastAsia="仿宋_GB2312" w:hint="eastAsia"/>
          <w:spacing w:val="0"/>
          <w:sz w:val="32"/>
          <w:szCs w:val="32"/>
          <w:highlight w:val="none"/>
          <w:lang w:eastAsia="zh-CN"/>
        </w:rPr>
        <w:t>年度</w:t>
      </w:r>
      <w:r>
        <w:rPr>
          <w:rFonts w:ascii="仿宋_GB2312" w:eastAsia="仿宋_GB2312" w:hint="eastAsia"/>
          <w:sz w:val="32"/>
          <w:szCs w:val="32"/>
          <w:highlight w:val="none"/>
        </w:rPr>
        <w:t>本年收入58.71万元，其中：财政拨款收入58.71万元，占100.00%；上级补助收入0.00万元，占0.00%；事业收入0.00万元，占0.00%；经营收入0.00万元，占0.00%；附属单位上缴收入0.00万元，占0.00%；其他收入0.00万元，占0.00%。</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lang w:eastAsia="zh-CN"/>
        </w:rPr>
      </w:pPr>
      <w:bookmarkStart w:id="13" w:name="_Toc13201"/>
      <w:bookmarkStart w:id="14" w:name="_Toc27961"/>
      <w:r>
        <w:rPr>
          <w:rFonts w:ascii="黑体" w:eastAsia="黑体" w:hAnsi="黑体" w:cs="宋体" w:hint="eastAsia"/>
          <w:kern w:val="0"/>
          <w:sz w:val="32"/>
          <w:szCs w:val="32"/>
          <w:highlight w:val="none"/>
          <w:lang w:eastAsia="zh-CN"/>
        </w:rPr>
        <w:t>三、支出决算情况说明</w:t>
      </w:r>
      <w:bookmarkEnd w:id="13"/>
      <w:bookmarkEnd w:id="14"/>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pacing w:val="0"/>
          <w:sz w:val="32"/>
          <w:szCs w:val="32"/>
          <w:highlight w:val="none"/>
        </w:rPr>
        <w:t>2022</w:t>
      </w:r>
      <w:r>
        <w:rPr>
          <w:rFonts w:ascii="仿宋_GB2312" w:eastAsia="仿宋_GB2312" w:hint="eastAsia"/>
          <w:spacing w:val="0"/>
          <w:sz w:val="32"/>
          <w:szCs w:val="32"/>
          <w:highlight w:val="none"/>
          <w:lang w:eastAsia="zh-CN"/>
        </w:rPr>
        <w:t>年度</w:t>
      </w:r>
      <w:r>
        <w:rPr>
          <w:rFonts w:ascii="仿宋_GB2312" w:eastAsia="仿宋_GB2312" w:hint="eastAsia"/>
          <w:sz w:val="32"/>
          <w:szCs w:val="32"/>
          <w:highlight w:val="none"/>
        </w:rPr>
        <w:t>本年支出58.71万元，其中：基本支出58.71万元，占100.00%；项目支出0.00万元，占0.00%；上缴上级支出0.00万元，占0.00%；经营支出0.00万元，占0.00%；对附属单位补助支出0.00万元，占0.00%。</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lang w:eastAsia="zh-CN"/>
        </w:rPr>
      </w:pPr>
      <w:bookmarkStart w:id="15" w:name="_Toc26564"/>
      <w:bookmarkStart w:id="16" w:name="_Toc4393"/>
      <w:r>
        <w:rPr>
          <w:rFonts w:ascii="黑体" w:eastAsia="黑体" w:hAnsi="黑体" w:cs="宋体" w:hint="eastAsia"/>
          <w:kern w:val="0"/>
          <w:sz w:val="32"/>
          <w:szCs w:val="32"/>
          <w:highlight w:val="none"/>
          <w:lang w:eastAsia="zh-CN"/>
        </w:rPr>
        <w:t>四、财政拨款收入支出决算总体情况说明</w:t>
      </w:r>
      <w:bookmarkEnd w:id="15"/>
      <w:bookmarkEnd w:id="16"/>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pacing w:val="0"/>
          <w:sz w:val="32"/>
          <w:szCs w:val="32"/>
          <w:highlight w:val="none"/>
        </w:rPr>
        <w:t>2022</w:t>
      </w:r>
      <w:r>
        <w:rPr>
          <w:rFonts w:ascii="仿宋_GB2312" w:eastAsia="仿宋_GB2312" w:hint="eastAsia"/>
          <w:spacing w:val="0"/>
          <w:sz w:val="32"/>
          <w:szCs w:val="32"/>
          <w:highlight w:val="none"/>
          <w:lang w:eastAsia="zh-CN"/>
        </w:rPr>
        <w:t>年度</w:t>
      </w:r>
      <w:r>
        <w:rPr>
          <w:rFonts w:ascii="仿宋_GB2312" w:eastAsia="仿宋_GB2312" w:hint="eastAsia"/>
          <w:sz w:val="32"/>
          <w:szCs w:val="32"/>
          <w:highlight w:val="none"/>
        </w:rPr>
        <w:t>财政拨款收入总计58.71万元，其中：年初财政拨款结转和结余0.00万元，财政拨款本年收入58.71万元。财政拨款收入总计与上年相比，增加19.30万元，增长48.97%，</w:t>
      </w:r>
      <w:r>
        <w:rPr>
          <w:rFonts w:ascii="仿宋_GB2312" w:eastAsia="仿宋_GB2312" w:hint="eastAsia"/>
          <w:sz w:val="32"/>
          <w:szCs w:val="32"/>
          <w:highlight w:val="none"/>
          <w:lang w:eastAsia="zh-CN"/>
        </w:rPr>
        <w:t>主要原因是：</w:t>
      </w:r>
      <w:r>
        <w:rPr>
          <w:rFonts w:ascii="仿宋_GB2312" w:eastAsia="仿宋_GB2312" w:hint="eastAsia"/>
          <w:sz w:val="32"/>
          <w:szCs w:val="32"/>
          <w:highlight w:val="none"/>
        </w:rPr>
        <w:t>本年度工资调标</w:t>
      </w:r>
      <w:r>
        <w:rPr>
          <w:rFonts w:ascii="仿宋_GB2312" w:eastAsia="仿宋_GB2312" w:hint="eastAsia"/>
          <w:sz w:val="32"/>
          <w:szCs w:val="32"/>
          <w:highlight w:val="none"/>
          <w:lang w:eastAsia="zh-CN"/>
        </w:rPr>
        <w:t>、</w:t>
      </w:r>
      <w:r>
        <w:rPr>
          <w:rFonts w:ascii="仿宋_GB2312" w:eastAsia="仿宋_GB2312" w:hint="eastAsia"/>
          <w:sz w:val="32"/>
          <w:szCs w:val="32"/>
          <w:highlight w:val="none"/>
        </w:rPr>
        <w:t>普调</w:t>
      </w:r>
      <w:r>
        <w:rPr>
          <w:rFonts w:ascii="仿宋_GB2312" w:eastAsia="仿宋_GB2312" w:hint="eastAsia"/>
          <w:sz w:val="32"/>
          <w:szCs w:val="32"/>
          <w:highlight w:val="none"/>
          <w:lang w:eastAsia="zh-CN"/>
        </w:rPr>
        <w:t>、</w:t>
      </w:r>
      <w:r>
        <w:rPr>
          <w:rFonts w:ascii="仿宋_GB2312" w:eastAsia="仿宋_GB2312" w:hint="eastAsia"/>
          <w:sz w:val="32"/>
          <w:szCs w:val="32"/>
          <w:highlight w:val="none"/>
        </w:rPr>
        <w:t>发放绩效奖励</w:t>
      </w:r>
      <w:r>
        <w:rPr>
          <w:rFonts w:ascii="仿宋_GB2312" w:eastAsia="仿宋_GB2312" w:hint="eastAsia"/>
          <w:sz w:val="32"/>
          <w:szCs w:val="32"/>
          <w:highlight w:val="none"/>
          <w:lang w:eastAsia="zh-CN"/>
        </w:rPr>
        <w:t>工资，</w:t>
      </w:r>
      <w:r>
        <w:rPr>
          <w:rFonts w:ascii="仿宋_GB2312" w:eastAsia="仿宋_GB2312" w:hint="eastAsia"/>
          <w:sz w:val="32"/>
          <w:szCs w:val="32"/>
          <w:highlight w:val="none"/>
        </w:rPr>
        <w:t>补发以前年度大绩效，因此收入比上年增加。</w:t>
      </w:r>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财政拨款支出总计58.71万元，其中：年末财政拨款结转和结余0.00万元，财政拨款本年支出58.71万元。财政拨款支出总计与上年相比，增加19.30万元，增长48.97%，</w:t>
      </w:r>
      <w:r>
        <w:rPr>
          <w:rFonts w:ascii="仿宋_GB2312" w:eastAsia="仿宋_GB2312" w:hint="eastAsia"/>
          <w:sz w:val="32"/>
          <w:szCs w:val="32"/>
          <w:highlight w:val="none"/>
          <w:lang w:eastAsia="zh-CN"/>
        </w:rPr>
        <w:t>主要原因是：</w:t>
      </w:r>
      <w:r>
        <w:rPr>
          <w:rFonts w:ascii="仿宋_GB2312" w:eastAsia="仿宋_GB2312" w:hint="eastAsia"/>
          <w:sz w:val="32"/>
          <w:szCs w:val="32"/>
          <w:highlight w:val="none"/>
        </w:rPr>
        <w:t>本年度工资调标</w:t>
      </w:r>
      <w:r>
        <w:rPr>
          <w:rFonts w:ascii="仿宋_GB2312" w:eastAsia="仿宋_GB2312" w:hint="eastAsia"/>
          <w:sz w:val="32"/>
          <w:szCs w:val="32"/>
          <w:highlight w:val="none"/>
          <w:lang w:eastAsia="zh-CN"/>
        </w:rPr>
        <w:t>、</w:t>
      </w:r>
      <w:r>
        <w:rPr>
          <w:rFonts w:ascii="仿宋_GB2312" w:eastAsia="仿宋_GB2312" w:hint="eastAsia"/>
          <w:sz w:val="32"/>
          <w:szCs w:val="32"/>
          <w:highlight w:val="none"/>
        </w:rPr>
        <w:t>普调</w:t>
      </w:r>
      <w:r>
        <w:rPr>
          <w:rFonts w:ascii="仿宋_GB2312" w:eastAsia="仿宋_GB2312" w:hint="eastAsia"/>
          <w:sz w:val="32"/>
          <w:szCs w:val="32"/>
          <w:highlight w:val="none"/>
          <w:lang w:eastAsia="zh-CN"/>
        </w:rPr>
        <w:t>、</w:t>
      </w:r>
      <w:r>
        <w:rPr>
          <w:rFonts w:ascii="仿宋_GB2312" w:eastAsia="仿宋_GB2312" w:hint="eastAsia"/>
          <w:sz w:val="32"/>
          <w:szCs w:val="32"/>
          <w:highlight w:val="none"/>
        </w:rPr>
        <w:t>发放绩效奖励</w:t>
      </w:r>
      <w:r>
        <w:rPr>
          <w:rFonts w:ascii="仿宋_GB2312" w:eastAsia="仿宋_GB2312" w:hint="eastAsia"/>
          <w:sz w:val="32"/>
          <w:szCs w:val="32"/>
          <w:highlight w:val="none"/>
          <w:lang w:eastAsia="zh-CN"/>
        </w:rPr>
        <w:t>工资，</w:t>
      </w:r>
      <w:r>
        <w:rPr>
          <w:rFonts w:ascii="仿宋_GB2312" w:eastAsia="仿宋_GB2312" w:hint="eastAsia"/>
          <w:sz w:val="32"/>
          <w:szCs w:val="32"/>
          <w:highlight w:val="none"/>
        </w:rPr>
        <w:t>补发以前年度大绩效，因此</w:t>
      </w:r>
      <w:r>
        <w:rPr>
          <w:rFonts w:ascii="仿宋_GB2312" w:eastAsia="仿宋_GB2312" w:hint="eastAsia"/>
          <w:sz w:val="32"/>
          <w:szCs w:val="32"/>
          <w:highlight w:val="none"/>
          <w:lang w:eastAsia="zh-CN"/>
        </w:rPr>
        <w:t>支出</w:t>
      </w:r>
      <w:r>
        <w:rPr>
          <w:rFonts w:ascii="仿宋_GB2312" w:eastAsia="仿宋_GB2312" w:hint="eastAsia"/>
          <w:sz w:val="32"/>
          <w:szCs w:val="32"/>
          <w:highlight w:val="none"/>
        </w:rPr>
        <w:t>比上年增加。</w:t>
      </w:r>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与年初预算数相比情况：财政拨款收入总计年初预算数46.38万元，决算数58.71万元，预决算差异率26.58%，</w:t>
      </w:r>
      <w:r>
        <w:rPr>
          <w:rFonts w:ascii="仿宋_GB2312" w:eastAsia="仿宋_GB2312" w:hint="eastAsia"/>
          <w:sz w:val="32"/>
          <w:szCs w:val="32"/>
          <w:highlight w:val="none"/>
          <w:lang w:eastAsia="zh-CN"/>
        </w:rPr>
        <w:t>主要原因是：</w:t>
      </w:r>
      <w:r>
        <w:rPr>
          <w:rFonts w:ascii="仿宋_GB2312" w:eastAsia="仿宋_GB2312" w:hint="eastAsia"/>
          <w:sz w:val="32"/>
          <w:szCs w:val="32"/>
          <w:highlight w:val="none"/>
        </w:rPr>
        <w:t>本年度工资调标</w:t>
      </w:r>
      <w:r>
        <w:rPr>
          <w:rFonts w:ascii="仿宋_GB2312" w:eastAsia="仿宋_GB2312" w:hint="eastAsia"/>
          <w:sz w:val="32"/>
          <w:szCs w:val="32"/>
          <w:highlight w:val="none"/>
          <w:lang w:eastAsia="zh-CN"/>
        </w:rPr>
        <w:t>、</w:t>
      </w:r>
      <w:r>
        <w:rPr>
          <w:rFonts w:ascii="仿宋_GB2312" w:eastAsia="仿宋_GB2312" w:hint="eastAsia"/>
          <w:sz w:val="32"/>
          <w:szCs w:val="32"/>
          <w:highlight w:val="none"/>
        </w:rPr>
        <w:t>普调</w:t>
      </w:r>
      <w:r>
        <w:rPr>
          <w:rFonts w:ascii="仿宋_GB2312" w:eastAsia="仿宋_GB2312" w:hint="eastAsia"/>
          <w:sz w:val="32"/>
          <w:szCs w:val="32"/>
          <w:highlight w:val="none"/>
          <w:lang w:eastAsia="zh-CN"/>
        </w:rPr>
        <w:t>、</w:t>
      </w:r>
      <w:r>
        <w:rPr>
          <w:rFonts w:ascii="仿宋_GB2312" w:eastAsia="仿宋_GB2312" w:hint="eastAsia"/>
          <w:sz w:val="32"/>
          <w:szCs w:val="32"/>
          <w:highlight w:val="none"/>
        </w:rPr>
        <w:t>发放绩效奖励</w:t>
      </w:r>
      <w:r>
        <w:rPr>
          <w:rFonts w:ascii="仿宋_GB2312" w:eastAsia="仿宋_GB2312" w:hint="eastAsia"/>
          <w:sz w:val="32"/>
          <w:szCs w:val="32"/>
          <w:highlight w:val="none"/>
          <w:lang w:eastAsia="zh-CN"/>
        </w:rPr>
        <w:t>工资，</w:t>
      </w:r>
      <w:r>
        <w:rPr>
          <w:rFonts w:ascii="仿宋_GB2312" w:eastAsia="仿宋_GB2312" w:hint="eastAsia"/>
          <w:sz w:val="32"/>
          <w:szCs w:val="32"/>
          <w:highlight w:val="none"/>
        </w:rPr>
        <w:t>补发以前年度大绩效，因此收入比上年增加。财政拨款支出总计年初预算数46.38万元，决算数58.71万元，预决算差异率26.58%，</w:t>
      </w:r>
      <w:r>
        <w:rPr>
          <w:rFonts w:ascii="仿宋_GB2312" w:eastAsia="仿宋_GB2312" w:hint="eastAsia"/>
          <w:sz w:val="32"/>
          <w:szCs w:val="32"/>
          <w:highlight w:val="none"/>
          <w:lang w:eastAsia="zh-CN"/>
        </w:rPr>
        <w:t>主要原因是：</w:t>
      </w:r>
      <w:r>
        <w:rPr>
          <w:rFonts w:ascii="仿宋_GB2312" w:eastAsia="仿宋_GB2312" w:hint="eastAsia"/>
          <w:sz w:val="32"/>
          <w:szCs w:val="32"/>
          <w:highlight w:val="none"/>
        </w:rPr>
        <w:t>本年度工资调标</w:t>
      </w:r>
      <w:r>
        <w:rPr>
          <w:rFonts w:ascii="仿宋_GB2312" w:eastAsia="仿宋_GB2312" w:hint="eastAsia"/>
          <w:sz w:val="32"/>
          <w:szCs w:val="32"/>
          <w:highlight w:val="none"/>
          <w:lang w:eastAsia="zh-CN"/>
        </w:rPr>
        <w:t>、</w:t>
      </w:r>
      <w:r>
        <w:rPr>
          <w:rFonts w:ascii="仿宋_GB2312" w:eastAsia="仿宋_GB2312" w:hint="eastAsia"/>
          <w:sz w:val="32"/>
          <w:szCs w:val="32"/>
          <w:highlight w:val="none"/>
        </w:rPr>
        <w:t>普调</w:t>
      </w:r>
      <w:r>
        <w:rPr>
          <w:rFonts w:ascii="仿宋_GB2312" w:eastAsia="仿宋_GB2312" w:hint="eastAsia"/>
          <w:sz w:val="32"/>
          <w:szCs w:val="32"/>
          <w:highlight w:val="none"/>
          <w:lang w:eastAsia="zh-CN"/>
        </w:rPr>
        <w:t>、</w:t>
      </w:r>
      <w:r>
        <w:rPr>
          <w:rFonts w:ascii="仿宋_GB2312" w:eastAsia="仿宋_GB2312" w:hint="eastAsia"/>
          <w:sz w:val="32"/>
          <w:szCs w:val="32"/>
          <w:highlight w:val="none"/>
        </w:rPr>
        <w:t>发放绩效奖励</w:t>
      </w:r>
      <w:r>
        <w:rPr>
          <w:rFonts w:ascii="仿宋_GB2312" w:eastAsia="仿宋_GB2312" w:hint="eastAsia"/>
          <w:sz w:val="32"/>
          <w:szCs w:val="32"/>
          <w:highlight w:val="none"/>
          <w:lang w:eastAsia="zh-CN"/>
        </w:rPr>
        <w:t>工资，</w:t>
      </w:r>
      <w:r>
        <w:rPr>
          <w:rFonts w:ascii="仿宋_GB2312" w:eastAsia="仿宋_GB2312" w:hint="eastAsia"/>
          <w:sz w:val="32"/>
          <w:szCs w:val="32"/>
          <w:highlight w:val="none"/>
        </w:rPr>
        <w:t>补发以前年度大绩效，因此</w:t>
      </w:r>
      <w:r>
        <w:rPr>
          <w:rFonts w:ascii="仿宋_GB2312" w:eastAsia="仿宋_GB2312" w:hint="eastAsia"/>
          <w:sz w:val="32"/>
          <w:szCs w:val="32"/>
          <w:highlight w:val="none"/>
          <w:lang w:eastAsia="zh-CN"/>
        </w:rPr>
        <w:t>支出</w:t>
      </w:r>
      <w:r>
        <w:rPr>
          <w:rFonts w:ascii="仿宋_GB2312" w:eastAsia="仿宋_GB2312" w:hint="eastAsia"/>
          <w:sz w:val="32"/>
          <w:szCs w:val="32"/>
          <w:highlight w:val="none"/>
        </w:rPr>
        <w:t>比上年增加。</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lang w:eastAsia="zh-CN"/>
        </w:rPr>
      </w:pPr>
      <w:bookmarkStart w:id="17" w:name="_Toc13833"/>
      <w:bookmarkStart w:id="18" w:name="_Toc20360"/>
      <w:r>
        <w:rPr>
          <w:rFonts w:ascii="黑体" w:eastAsia="黑体" w:hAnsi="黑体" w:cs="宋体" w:hint="eastAsia"/>
          <w:kern w:val="0"/>
          <w:sz w:val="32"/>
          <w:szCs w:val="32"/>
          <w:highlight w:val="none"/>
          <w:lang w:eastAsia="zh-CN"/>
        </w:rPr>
        <w:t>五、一般公共预算财政拨款支出决算情况说明</w:t>
      </w:r>
      <w:bookmarkEnd w:id="17"/>
      <w:bookmarkEnd w:id="18"/>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lang w:eastAsia="zh-CN"/>
        </w:rPr>
      </w:pPr>
      <w:r>
        <w:rPr>
          <w:rFonts w:ascii="黑体" w:eastAsia="黑体" w:hAnsi="黑体" w:cs="宋体" w:hint="eastAsia"/>
          <w:kern w:val="0"/>
          <w:sz w:val="32"/>
          <w:szCs w:val="32"/>
          <w:highlight w:val="none"/>
          <w:lang w:eastAsia="zh-CN"/>
        </w:rPr>
        <w:t>（一）一般公共预算财政拨款支出决算总体情况</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pacing w:val="0"/>
          <w:sz w:val="32"/>
          <w:szCs w:val="32"/>
          <w:highlight w:val="none"/>
        </w:rPr>
        <w:t>2022</w:t>
      </w:r>
      <w:r>
        <w:rPr>
          <w:rFonts w:ascii="仿宋_GB2312" w:eastAsia="仿宋_GB2312" w:hint="eastAsia"/>
          <w:spacing w:val="0"/>
          <w:sz w:val="32"/>
          <w:szCs w:val="32"/>
          <w:highlight w:val="none"/>
          <w:lang w:eastAsia="zh-CN"/>
        </w:rPr>
        <w:t>年度</w:t>
      </w:r>
      <w:r>
        <w:rPr>
          <w:rFonts w:ascii="仿宋_GB2312" w:eastAsia="仿宋_GB2312" w:hint="eastAsia"/>
          <w:sz w:val="32"/>
          <w:szCs w:val="32"/>
          <w:highlight w:val="none"/>
        </w:rPr>
        <w:t>一般公共预算财政拨款支出58.71万元，占本年支出合计的100.00%，与上年相比，增加19.30万元，增长48.97%，主要原因是：本年度工资调标</w:t>
      </w:r>
      <w:r>
        <w:rPr>
          <w:rFonts w:ascii="仿宋_GB2312" w:eastAsia="仿宋_GB2312" w:hint="eastAsia"/>
          <w:sz w:val="32"/>
          <w:szCs w:val="32"/>
          <w:highlight w:val="none"/>
          <w:lang w:eastAsia="zh-CN"/>
        </w:rPr>
        <w:t>、</w:t>
      </w:r>
      <w:r>
        <w:rPr>
          <w:rFonts w:ascii="仿宋_GB2312" w:eastAsia="仿宋_GB2312" w:hint="eastAsia"/>
          <w:sz w:val="32"/>
          <w:szCs w:val="32"/>
          <w:highlight w:val="none"/>
        </w:rPr>
        <w:t>普调</w:t>
      </w:r>
      <w:r>
        <w:rPr>
          <w:rFonts w:ascii="仿宋_GB2312" w:eastAsia="仿宋_GB2312" w:hint="eastAsia"/>
          <w:sz w:val="32"/>
          <w:szCs w:val="32"/>
          <w:highlight w:val="none"/>
          <w:lang w:eastAsia="zh-CN"/>
        </w:rPr>
        <w:t>、</w:t>
      </w:r>
      <w:r>
        <w:rPr>
          <w:rFonts w:ascii="仿宋_GB2312" w:eastAsia="仿宋_GB2312" w:hint="eastAsia"/>
          <w:sz w:val="32"/>
          <w:szCs w:val="32"/>
          <w:highlight w:val="none"/>
        </w:rPr>
        <w:t>发放绩效奖励</w:t>
      </w:r>
      <w:r>
        <w:rPr>
          <w:rFonts w:ascii="仿宋_GB2312" w:eastAsia="仿宋_GB2312" w:hint="eastAsia"/>
          <w:sz w:val="32"/>
          <w:szCs w:val="32"/>
          <w:highlight w:val="none"/>
          <w:lang w:eastAsia="zh-CN"/>
        </w:rPr>
        <w:t>工资，</w:t>
      </w:r>
      <w:r>
        <w:rPr>
          <w:rFonts w:ascii="仿宋_GB2312" w:eastAsia="仿宋_GB2312" w:hint="eastAsia"/>
          <w:sz w:val="32"/>
          <w:szCs w:val="32"/>
          <w:highlight w:val="none"/>
        </w:rPr>
        <w:t>补发以前年度大绩效，因此</w:t>
      </w:r>
      <w:r>
        <w:rPr>
          <w:rFonts w:ascii="仿宋_GB2312" w:eastAsia="仿宋_GB2312" w:hint="eastAsia"/>
          <w:sz w:val="32"/>
          <w:szCs w:val="32"/>
          <w:highlight w:val="none"/>
          <w:lang w:eastAsia="zh-CN"/>
        </w:rPr>
        <w:t>支出</w:t>
      </w:r>
      <w:r>
        <w:rPr>
          <w:rFonts w:ascii="仿宋_GB2312" w:eastAsia="仿宋_GB2312" w:hint="eastAsia"/>
          <w:sz w:val="32"/>
          <w:szCs w:val="32"/>
          <w:highlight w:val="none"/>
        </w:rPr>
        <w:t>比上年增加。</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lang w:eastAsia="zh-CN"/>
        </w:rPr>
      </w:pPr>
      <w:r>
        <w:rPr>
          <w:rFonts w:ascii="黑体" w:eastAsia="黑体" w:hAnsi="黑体" w:cs="宋体" w:hint="eastAsia"/>
          <w:kern w:val="0"/>
          <w:sz w:val="32"/>
          <w:szCs w:val="32"/>
          <w:highlight w:val="none"/>
          <w:lang w:eastAsia="zh-CN"/>
        </w:rPr>
        <w:t>（二）一般公共预算财政拨款支出决算结构情况</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val="en-US" w:eastAsia="zh-CN"/>
        </w:rPr>
        <w:t>1.社会保障和就业支出（类）52.24万元，占88.98%。</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val="en-US" w:eastAsia="zh-CN"/>
        </w:rPr>
        <w:t>2.卫生健康支出（类）2.47万元，占4.20%。</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val="en-US" w:eastAsia="zh-CN"/>
        </w:rPr>
        <w:t>3.住房保障支出（类）4.00万元，占6.82%。</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lang w:eastAsia="zh-CN"/>
        </w:rPr>
      </w:pPr>
      <w:r>
        <w:rPr>
          <w:rFonts w:ascii="黑体" w:eastAsia="黑体" w:hAnsi="黑体" w:cs="宋体" w:hint="eastAsia"/>
          <w:kern w:val="0"/>
          <w:sz w:val="32"/>
          <w:szCs w:val="32"/>
          <w:highlight w:val="none"/>
          <w:lang w:eastAsia="zh-CN"/>
        </w:rPr>
        <w:t>（三）一般公共预算财政拨款支出决算具体情况</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val="en-US" w:eastAsia="zh-CN"/>
        </w:rPr>
        <w:t>1.社会保障和就业支出（类）行政事业单位养老支出（款）机关事业单位基本养老保险缴费支出（项）：支出决算数为4.78万元，比上年决算增加0.47万元，增长10.90%，主要原因是：2022年与上年度相比社保基数增加，因此社会保障和就业支出决算比上年增加。</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val="en-US" w:eastAsia="zh-CN"/>
        </w:rPr>
        <w:t>2.社会保障和就业支出（类）临时救助（款）流浪乞讨人员救助支出（项）：支出决算数为47.46万元，比上年决算增加18.01万元，增长61.21%，主要原因是：2022年度工资调整，与上年度相比工资增加，因此社会保障和就业支出临时救助流浪乞讨人员救助支出增加。</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val="en-US" w:eastAsia="zh-CN"/>
        </w:rPr>
        <w:t>3.卫生健康支出（类）行政事业单位医疗（款）事业单位医疗（项）：支出决算数为2.47万元，比上年决算减少0.09万元，下降3.52%，主要原因是：社保基数工伤比例下调，因此支出减少。</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val="en-US" w:eastAsia="zh-CN"/>
        </w:rPr>
        <w:t>4.住房保障支出（类）住房改革支出（款）住房公积金（项）：支出决算数为4.00万元，比上年决算增加0.92万元，增长29.45%，主要原因是：2022年与上年度相比公积金基数增加，因此住房公积金决算支出增加。</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lang w:eastAsia="zh-CN"/>
        </w:rPr>
      </w:pPr>
      <w:bookmarkStart w:id="19" w:name="_Toc30870"/>
      <w:bookmarkStart w:id="20" w:name="_Toc11146"/>
      <w:r>
        <w:rPr>
          <w:rFonts w:ascii="黑体" w:eastAsia="黑体" w:hAnsi="黑体" w:cs="宋体" w:hint="eastAsia"/>
          <w:kern w:val="0"/>
          <w:sz w:val="32"/>
          <w:szCs w:val="32"/>
          <w:highlight w:val="none"/>
          <w:lang w:eastAsia="zh-CN"/>
        </w:rPr>
        <w:t>六、一般公共预算财政拨款基本支出决算情况说明</w:t>
      </w:r>
      <w:bookmarkEnd w:id="19"/>
      <w:bookmarkEnd w:id="20"/>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2022年度一般公共预算财政拨款基本支出58.7</w:t>
      </w:r>
      <w:r>
        <w:rPr>
          <w:rFonts w:ascii="仿宋_GB2312" w:eastAsia="仿宋_GB2312" w:hint="eastAsia"/>
          <w:sz w:val="32"/>
          <w:szCs w:val="32"/>
          <w:highlight w:val="none"/>
          <w:lang w:val="en-US" w:eastAsia="zh-CN"/>
        </w:rPr>
        <w:t>2</w:t>
      </w:r>
      <w:r>
        <w:rPr>
          <w:rFonts w:ascii="仿宋_GB2312" w:eastAsia="仿宋_GB2312" w:hint="eastAsia"/>
          <w:sz w:val="32"/>
          <w:szCs w:val="32"/>
          <w:highlight w:val="none"/>
        </w:rPr>
        <w:t>万元，其中：</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rPr>
        <w:t>人员经费58.48万元，包括：基本工资、津贴补贴、奖金、机关事业单位基本养老保险缴费、职工基本医疗保险缴费、其他社会保障缴费、住房公积金。</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rPr>
        <w:t>公用经费0.24万元，包括：办公费。</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lang w:eastAsia="zh-CN"/>
        </w:rPr>
      </w:pPr>
      <w:bookmarkStart w:id="21" w:name="_Toc7190"/>
      <w:bookmarkStart w:id="22" w:name="_Toc21518"/>
      <w:r>
        <w:rPr>
          <w:rFonts w:ascii="黑体" w:eastAsia="黑体" w:hAnsi="黑体" w:cs="宋体" w:hint="eastAsia"/>
          <w:kern w:val="0"/>
          <w:sz w:val="32"/>
          <w:szCs w:val="32"/>
          <w:highlight w:val="none"/>
          <w:lang w:eastAsia="zh-CN"/>
        </w:rPr>
        <w:t>七</w:t>
      </w:r>
      <w:r>
        <w:rPr>
          <w:rFonts w:ascii="黑体" w:eastAsia="黑体" w:hAnsi="黑体" w:cs="宋体" w:hint="eastAsia"/>
          <w:kern w:val="0"/>
          <w:sz w:val="32"/>
          <w:szCs w:val="32"/>
          <w:highlight w:val="none"/>
        </w:rPr>
        <w:t>、</w:t>
      </w:r>
      <w:r>
        <w:rPr>
          <w:rFonts w:ascii="黑体" w:eastAsia="黑体" w:hAnsi="黑体" w:cs="宋体" w:hint="eastAsia"/>
          <w:kern w:val="0"/>
          <w:sz w:val="32"/>
          <w:szCs w:val="32"/>
          <w:highlight w:val="none"/>
          <w:lang w:eastAsia="zh-CN"/>
        </w:rPr>
        <w:t>财政拨款</w:t>
      </w:r>
      <w:r>
        <w:rPr>
          <w:rFonts w:ascii="黑体" w:eastAsia="黑体" w:hAnsi="黑体" w:cs="宋体" w:hint="eastAsia"/>
          <w:kern w:val="0"/>
          <w:sz w:val="32"/>
          <w:szCs w:val="32"/>
          <w:highlight w:val="none"/>
        </w:rPr>
        <w:t>“三公”经费支出</w:t>
      </w:r>
      <w:r>
        <w:rPr>
          <w:rFonts w:ascii="黑体" w:eastAsia="黑体" w:hAnsi="黑体" w:cs="宋体" w:hint="eastAsia"/>
          <w:kern w:val="0"/>
          <w:sz w:val="32"/>
          <w:szCs w:val="32"/>
          <w:highlight w:val="none"/>
          <w:lang w:eastAsia="zh-CN"/>
        </w:rPr>
        <w:t>决算</w:t>
      </w:r>
      <w:r>
        <w:rPr>
          <w:rFonts w:ascii="黑体" w:eastAsia="黑体" w:hAnsi="黑体" w:cs="宋体" w:hint="eastAsia"/>
          <w:kern w:val="0"/>
          <w:sz w:val="32"/>
          <w:szCs w:val="32"/>
          <w:highlight w:val="none"/>
        </w:rPr>
        <w:t>情况</w:t>
      </w:r>
      <w:r>
        <w:rPr>
          <w:rFonts w:ascii="黑体" w:eastAsia="黑体" w:hAnsi="黑体" w:cs="宋体" w:hint="eastAsia"/>
          <w:kern w:val="0"/>
          <w:sz w:val="32"/>
          <w:szCs w:val="32"/>
          <w:highlight w:val="none"/>
          <w:lang w:eastAsia="zh-CN"/>
        </w:rPr>
        <w:t>说明</w:t>
      </w:r>
      <w:bookmarkEnd w:id="21"/>
      <w:bookmarkEnd w:id="22"/>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pacing w:val="0"/>
          <w:sz w:val="32"/>
          <w:szCs w:val="32"/>
          <w:highlight w:val="none"/>
        </w:rPr>
        <w:t>2022</w:t>
      </w:r>
      <w:r>
        <w:rPr>
          <w:rFonts w:ascii="仿宋_GB2312" w:eastAsia="仿宋_GB2312" w:hint="eastAsia"/>
          <w:spacing w:val="0"/>
          <w:sz w:val="32"/>
          <w:szCs w:val="32"/>
          <w:highlight w:val="none"/>
          <w:lang w:eastAsia="zh-CN"/>
        </w:rPr>
        <w:t>年度</w:t>
      </w:r>
      <w:r>
        <w:rPr>
          <w:rFonts w:ascii="仿宋_GB2312" w:eastAsia="仿宋_GB2312" w:hint="eastAsia"/>
          <w:sz w:val="32"/>
          <w:szCs w:val="32"/>
          <w:highlight w:val="none"/>
        </w:rPr>
        <w:t>财政拨款“三公”经费支出决算0.00万元，比上年增加0.00万元，增长0.00%，主要原因是：我单位无“三公”经费预算安排</w:t>
      </w:r>
      <w:r>
        <w:rPr>
          <w:rFonts w:ascii="仿宋_GB2312" w:eastAsia="仿宋_GB2312" w:hint="eastAsia"/>
          <w:sz w:val="32"/>
          <w:szCs w:val="32"/>
          <w:highlight w:val="none"/>
          <w:lang w:eastAsia="zh-CN"/>
        </w:rPr>
        <w:t>，与上年相比无差异</w:t>
      </w:r>
      <w:r>
        <w:rPr>
          <w:rFonts w:ascii="仿宋_GB2312" w:eastAsia="仿宋_GB2312" w:hint="eastAsia"/>
          <w:sz w:val="32"/>
          <w:szCs w:val="32"/>
          <w:highlight w:val="none"/>
        </w:rPr>
        <w:t>。其中：因公出国（境）费支出0.00万元，占0.00%，比上年增加0.00万元，增长0.00%，主要原因是：我单位无因公出国（境）费预算安排</w:t>
      </w:r>
      <w:r>
        <w:rPr>
          <w:rFonts w:ascii="仿宋_GB2312" w:eastAsia="仿宋_GB2312" w:hint="eastAsia"/>
          <w:sz w:val="32"/>
          <w:szCs w:val="32"/>
          <w:highlight w:val="none"/>
          <w:lang w:eastAsia="zh-CN"/>
        </w:rPr>
        <w:t>，与上年相比无差异</w:t>
      </w:r>
      <w:r>
        <w:rPr>
          <w:rFonts w:ascii="仿宋_GB2312" w:eastAsia="仿宋_GB2312" w:hint="eastAsia"/>
          <w:sz w:val="32"/>
          <w:szCs w:val="32"/>
          <w:highlight w:val="none"/>
        </w:rPr>
        <w:t>；公务用车购置及运行维护费支出0.00万元，占0.00%，比上年增加0.00万元，增长0.00%，主要原因是：我单位无公务用车购置及运行维护费预算安排</w:t>
      </w:r>
      <w:r>
        <w:rPr>
          <w:rFonts w:ascii="仿宋_GB2312" w:eastAsia="仿宋_GB2312" w:hint="eastAsia"/>
          <w:sz w:val="32"/>
          <w:szCs w:val="32"/>
          <w:highlight w:val="none"/>
          <w:lang w:eastAsia="zh-CN"/>
        </w:rPr>
        <w:t>，与上年相比无差异</w:t>
      </w:r>
      <w:r>
        <w:rPr>
          <w:rFonts w:ascii="仿宋_GB2312" w:eastAsia="仿宋_GB2312" w:hint="eastAsia"/>
          <w:sz w:val="32"/>
          <w:szCs w:val="32"/>
          <w:highlight w:val="none"/>
        </w:rPr>
        <w:t>；公务接待费支出0.00万元，占0.00%，比上年增加0.00万元，增长0.00%，主要原因是：我单位无公务接待费预算安排</w:t>
      </w:r>
      <w:r>
        <w:rPr>
          <w:rFonts w:ascii="仿宋_GB2312" w:eastAsia="仿宋_GB2312" w:hint="eastAsia"/>
          <w:sz w:val="32"/>
          <w:szCs w:val="32"/>
          <w:highlight w:val="none"/>
          <w:lang w:eastAsia="zh-CN"/>
        </w:rPr>
        <w:t>，与上年相比无差异</w:t>
      </w:r>
      <w:r>
        <w:rPr>
          <w:rFonts w:ascii="仿宋_GB2312" w:eastAsia="仿宋_GB2312" w:hint="eastAsia"/>
          <w:sz w:val="32"/>
          <w:szCs w:val="32"/>
          <w:highlight w:val="none"/>
        </w:rPr>
        <w:t>。具体情况如下：</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因公出国（境）费支出0.00万元，开支内容包括我单位无因公出国（境）费预算安排，故无因公出国（境）费支出。单位全年安排的因公出国（境）团组0个，因公出国（境）0人次。</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公务用车购置及运行维护费0.00万元，其中：公务用车购置费0.00万元，公务用车运行维护费0.00万元。公务用车运行维护费开支内容包括我单位无公务用车运行维护费预算安排，故无公务用车运行维护费开支。公务用车购置数0辆，公务用车保有量0辆。</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公务接待费0.00万元，开支内容包括我单位无公务接待费预算安排，故无公务接待费开支。单位全年安排的国内公务接待0批次，0人次。</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与全年预算数相比情况：“三公”经费支出全年预算数0.00万元，决算数0.00万元，预决算差异率0.00%，主要原因是：我单位未安排</w:t>
      </w:r>
      <w:r>
        <w:rPr>
          <w:rFonts w:ascii="仿宋_GB2312" w:eastAsia="仿宋_GB2312" w:hint="eastAsia"/>
          <w:sz w:val="32"/>
          <w:szCs w:val="32"/>
          <w:highlight w:val="none"/>
          <w:lang w:eastAsia="zh-CN"/>
        </w:rPr>
        <w:t>财政拨款</w:t>
      </w:r>
      <w:r>
        <w:rPr>
          <w:rFonts w:ascii="仿宋_GB2312" w:eastAsia="仿宋_GB2312" w:hint="eastAsia"/>
          <w:sz w:val="32"/>
          <w:szCs w:val="32"/>
          <w:highlight w:val="none"/>
        </w:rPr>
        <w:t>“三公”经费支出，预决算无差异。</w:t>
      </w:r>
      <w:r>
        <w:rPr>
          <w:rFonts w:ascii="仿宋_GB2312" w:eastAsia="仿宋_GB2312" w:hint="eastAsia"/>
          <w:sz w:val="32"/>
          <w:szCs w:val="32"/>
          <w:highlight w:val="none"/>
          <w:lang w:eastAsia="zh-CN"/>
        </w:rPr>
        <w:t>其中：因公出国（境）费全年预算数0.00万元，决算数0.00万元，预决算差异率0.00%，主要原因是：我单位未安排因公出国（境）费，预决算无差异；</w:t>
      </w:r>
      <w:r>
        <w:rPr>
          <w:rFonts w:ascii="仿宋_GB2312" w:eastAsia="仿宋_GB2312" w:hint="eastAsia"/>
          <w:sz w:val="32"/>
          <w:szCs w:val="32"/>
          <w:highlight w:val="none"/>
        </w:rPr>
        <w:t>公务用车购置费全年预算数0.00万元，决算数0.00万元，预决算差异率0.00%，主要原因是：我单位未安排公务用车购置费，预决算无差异；</w:t>
      </w:r>
      <w:r>
        <w:rPr>
          <w:rFonts w:ascii="仿宋_GB2312" w:eastAsia="仿宋_GB2312" w:hAnsi="宋体" w:cs="宋体" w:hint="eastAsia"/>
          <w:kern w:val="0"/>
          <w:sz w:val="32"/>
          <w:szCs w:val="32"/>
          <w:highlight w:val="none"/>
        </w:rPr>
        <w:t>公务用车运行费全年预算数0.00万元，决算数0.00万元，预决算差异率0.00%，主要原因是：我单位未安排公务用车运行费，预决算无差异；</w:t>
      </w:r>
      <w:r>
        <w:rPr>
          <w:rFonts w:ascii="仿宋_GB2312" w:eastAsia="仿宋_GB2312" w:hint="eastAsia"/>
          <w:sz w:val="32"/>
          <w:szCs w:val="32"/>
          <w:highlight w:val="none"/>
        </w:rPr>
        <w:t>公务接待费全年预算数0.00万元，决算数0.00万元，预决算差异率0.00%，主要原因是：我单位未安排公务接待费，预决算无差异。</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lang w:eastAsia="zh-CN"/>
        </w:rPr>
      </w:pPr>
      <w:bookmarkStart w:id="23" w:name="_Toc7927"/>
      <w:bookmarkStart w:id="24" w:name="_Toc5810"/>
      <w:r>
        <w:rPr>
          <w:rFonts w:ascii="黑体" w:eastAsia="黑体" w:hAnsi="黑体" w:cs="宋体" w:hint="eastAsia"/>
          <w:kern w:val="0"/>
          <w:sz w:val="32"/>
          <w:szCs w:val="32"/>
          <w:highlight w:val="none"/>
          <w:lang w:eastAsia="zh-CN"/>
        </w:rPr>
        <w:t>八、政府性基金预算财政拨款收入支出决算情况说明</w:t>
      </w:r>
      <w:bookmarkEnd w:id="23"/>
      <w:bookmarkEnd w:id="24"/>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eastAsia="zh-CN"/>
        </w:rPr>
        <w:t>我单位本年度无政府性基金预算财政拨款收入、支出及结转和结余，</w:t>
      </w:r>
      <w:r>
        <w:rPr>
          <w:rFonts w:ascii="仿宋_GB2312" w:eastAsia="仿宋_GB2312" w:hint="eastAsia"/>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lang w:eastAsia="zh-CN"/>
        </w:rPr>
      </w:pPr>
      <w:r>
        <w:rPr>
          <w:rFonts w:ascii="黑体" w:eastAsia="黑体" w:hAnsi="黑体" w:cs="宋体" w:hint="eastAsia"/>
          <w:kern w:val="0"/>
          <w:sz w:val="32"/>
          <w:szCs w:val="32"/>
          <w:highlight w:val="none"/>
          <w:lang w:eastAsia="zh-CN"/>
        </w:rPr>
        <w:t>九、国有资本经营预算财政拨款收入支出决算情况说明</w:t>
      </w:r>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eastAsia="zh-CN"/>
        </w:rPr>
        <w:t>我单位本年度无国有资本经营预算财政拨款收入、支出及结转和结余，</w:t>
      </w:r>
      <w:r>
        <w:rPr>
          <w:rFonts w:ascii="仿宋_GB2312" w:eastAsia="仿宋_GB2312" w:hint="eastAsia"/>
          <w:sz w:val="32"/>
          <w:szCs w:val="32"/>
          <w:highlight w:val="none"/>
        </w:rPr>
        <w:t>国有资本经营预算财政拨款收入支出决算表为空表。</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lang w:eastAsia="zh-CN"/>
        </w:rPr>
      </w:pPr>
      <w:bookmarkStart w:id="25" w:name="_Toc7314"/>
      <w:bookmarkStart w:id="26" w:name="_Toc1235"/>
      <w:r>
        <w:rPr>
          <w:rFonts w:ascii="黑体" w:eastAsia="黑体" w:hAnsi="黑体" w:cs="宋体" w:hint="eastAsia"/>
          <w:kern w:val="0"/>
          <w:sz w:val="32"/>
          <w:szCs w:val="32"/>
          <w:highlight w:val="none"/>
          <w:lang w:eastAsia="zh-CN"/>
        </w:rPr>
        <w:t>十</w:t>
      </w:r>
      <w:r>
        <w:rPr>
          <w:rFonts w:ascii="黑体" w:eastAsia="黑体" w:hAnsi="黑体" w:cs="宋体" w:hint="eastAsia"/>
          <w:kern w:val="0"/>
          <w:sz w:val="32"/>
          <w:szCs w:val="32"/>
          <w:highlight w:val="none"/>
        </w:rPr>
        <w:t>、其他重要事项的情况</w:t>
      </w:r>
      <w:r>
        <w:rPr>
          <w:rFonts w:ascii="黑体" w:eastAsia="黑体" w:hAnsi="黑体" w:cs="宋体" w:hint="eastAsia"/>
          <w:kern w:val="0"/>
          <w:sz w:val="32"/>
          <w:szCs w:val="32"/>
          <w:highlight w:val="none"/>
          <w:lang w:eastAsia="zh-CN"/>
        </w:rPr>
        <w:t>说明</w:t>
      </w:r>
      <w:bookmarkEnd w:id="25"/>
      <w:bookmarkEnd w:id="26"/>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outlineLvl w:val="2"/>
        <w:rPr>
          <w:rFonts w:ascii="黑体" w:eastAsia="黑体" w:hAnsi="黑体" w:hint="eastAsia"/>
          <w:sz w:val="32"/>
          <w:szCs w:val="32"/>
          <w:highlight w:val="none"/>
        </w:rPr>
      </w:pPr>
      <w:bookmarkStart w:id="27" w:name="_Toc14519"/>
      <w:bookmarkStart w:id="28" w:name="_Toc13105"/>
      <w:r>
        <w:rPr>
          <w:rFonts w:ascii="黑体" w:eastAsia="黑体" w:hAnsi="黑体" w:hint="eastAsia"/>
          <w:sz w:val="32"/>
          <w:szCs w:val="32"/>
          <w:highlight w:val="none"/>
          <w:lang w:eastAsia="zh-CN"/>
        </w:rPr>
        <w:t>（一）</w:t>
      </w:r>
      <w:r>
        <w:rPr>
          <w:rFonts w:ascii="黑体" w:eastAsia="黑体" w:hAnsi="黑体" w:hint="eastAsia"/>
          <w:sz w:val="32"/>
          <w:szCs w:val="32"/>
          <w:highlight w:val="none"/>
        </w:rPr>
        <w:t>机关运行经费支出情况</w:t>
      </w:r>
      <w:bookmarkEnd w:id="27"/>
      <w:bookmarkEnd w:id="28"/>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2022年度新疆塔城地区乌苏市城市生活无着的流浪乞讨人员救助管理站（事业单位）公用经费0.24万元，比上年减少0.25万元，下降51.02%，主要原因是：开源节流厉行节约。</w:t>
      </w:r>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outlineLvl w:val="2"/>
        <w:rPr>
          <w:rFonts w:ascii="黑体" w:eastAsia="黑体" w:hAnsi="黑体" w:hint="eastAsia"/>
          <w:sz w:val="32"/>
          <w:szCs w:val="32"/>
          <w:highlight w:val="none"/>
          <w:lang w:eastAsia="zh-CN"/>
        </w:rPr>
      </w:pPr>
      <w:bookmarkStart w:id="29" w:name="_Toc26704"/>
      <w:bookmarkStart w:id="30" w:name="_Toc227"/>
      <w:r>
        <w:rPr>
          <w:rFonts w:ascii="黑体" w:eastAsia="黑体" w:hAnsi="黑体" w:hint="eastAsia"/>
          <w:sz w:val="32"/>
          <w:szCs w:val="32"/>
          <w:highlight w:val="none"/>
          <w:lang w:eastAsia="zh-CN"/>
        </w:rPr>
        <w:t>（二）政府采购情况</w:t>
      </w:r>
      <w:bookmarkEnd w:id="29"/>
      <w:bookmarkEnd w:id="30"/>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pacing w:val="0"/>
          <w:sz w:val="32"/>
          <w:szCs w:val="32"/>
          <w:highlight w:val="none"/>
        </w:rPr>
        <w:t>2022年度政府采购支出总额0.00万元，其中：政府采购货物支出0.00万元、政府采购工程支出0.00万元、政府采购服务支出0.00万元。</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val="en-US" w:eastAsia="zh-CN"/>
        </w:rPr>
      </w:pPr>
      <w:r>
        <w:rPr>
          <w:rFonts w:ascii="仿宋_GB2312" w:eastAsia="仿宋_GB2312" w:hint="eastAsia"/>
          <w:sz w:val="32"/>
          <w:szCs w:val="32"/>
          <w:highlight w:val="none"/>
        </w:rPr>
        <w:t>授予中小企业合同金额</w:t>
      </w:r>
      <w:r>
        <w:rPr>
          <w:rFonts w:ascii="仿宋_GB2312" w:eastAsia="仿宋_GB2312" w:hint="eastAsia"/>
          <w:sz w:val="32"/>
          <w:szCs w:val="32"/>
          <w:highlight w:val="none"/>
          <w:lang w:eastAsia="zh-CN"/>
        </w:rPr>
        <w:t>0.00</w:t>
      </w:r>
      <w:r>
        <w:rPr>
          <w:rFonts w:ascii="仿宋_GB2312" w:eastAsia="仿宋_GB2312" w:hint="eastAsia"/>
          <w:sz w:val="32"/>
          <w:szCs w:val="32"/>
          <w:highlight w:val="none"/>
        </w:rPr>
        <w:t>万元，占政府采购支出总额的</w:t>
      </w:r>
      <w:r>
        <w:rPr>
          <w:rFonts w:ascii="仿宋_GB2312" w:eastAsia="仿宋_GB2312" w:hint="eastAsia"/>
          <w:sz w:val="32"/>
          <w:szCs w:val="32"/>
          <w:highlight w:val="none"/>
          <w:lang w:eastAsia="zh-CN"/>
        </w:rPr>
        <w:t>0.00</w:t>
      </w:r>
      <w:r>
        <w:rPr>
          <w:rFonts w:ascii="仿宋_GB2312" w:eastAsia="仿宋_GB2312" w:hint="eastAsia"/>
          <w:sz w:val="32"/>
          <w:szCs w:val="32"/>
          <w:highlight w:val="none"/>
          <w:lang w:val="en-US" w:eastAsia="zh-CN"/>
        </w:rPr>
        <w:t>%</w:t>
      </w:r>
      <w:r>
        <w:rPr>
          <w:rFonts w:ascii="仿宋_GB2312" w:eastAsia="仿宋_GB2312" w:hint="eastAsia"/>
          <w:sz w:val="32"/>
          <w:szCs w:val="32"/>
          <w:highlight w:val="none"/>
        </w:rPr>
        <w:t>，其中：授予小微企业合同金额</w:t>
      </w:r>
      <w:r>
        <w:rPr>
          <w:rFonts w:ascii="仿宋_GB2312" w:eastAsia="仿宋_GB2312" w:hint="eastAsia"/>
          <w:sz w:val="32"/>
          <w:szCs w:val="32"/>
          <w:highlight w:val="none"/>
          <w:lang w:eastAsia="zh-CN"/>
        </w:rPr>
        <w:t>0.00</w:t>
      </w:r>
      <w:r>
        <w:rPr>
          <w:rFonts w:ascii="仿宋_GB2312" w:eastAsia="仿宋_GB2312" w:hint="eastAsia"/>
          <w:sz w:val="32"/>
          <w:szCs w:val="32"/>
          <w:highlight w:val="none"/>
        </w:rPr>
        <w:t>万元，占政府采购支出总额的</w:t>
      </w:r>
      <w:r>
        <w:rPr>
          <w:rFonts w:ascii="仿宋_GB2312" w:eastAsia="仿宋_GB2312" w:hint="eastAsia"/>
          <w:sz w:val="32"/>
          <w:szCs w:val="32"/>
          <w:highlight w:val="none"/>
          <w:lang w:eastAsia="zh-CN"/>
        </w:rPr>
        <w:t>0.00</w:t>
      </w:r>
      <w:r>
        <w:rPr>
          <w:rFonts w:ascii="仿宋_GB2312" w:eastAsia="仿宋_GB2312" w:hint="eastAsia"/>
          <w:sz w:val="32"/>
          <w:szCs w:val="32"/>
          <w:highlight w:val="none"/>
          <w:lang w:val="en-US" w:eastAsia="zh-CN"/>
        </w:rPr>
        <w:t>%。</w:t>
      </w:r>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outlineLvl w:val="2"/>
        <w:rPr>
          <w:rFonts w:ascii="黑体" w:eastAsia="黑体" w:hAnsi="黑体" w:hint="eastAsia"/>
          <w:sz w:val="32"/>
          <w:szCs w:val="32"/>
          <w:highlight w:val="none"/>
          <w:lang w:eastAsia="zh-CN"/>
        </w:rPr>
      </w:pPr>
      <w:bookmarkStart w:id="31" w:name="_Toc8391"/>
      <w:bookmarkStart w:id="32" w:name="_Toc4591"/>
      <w:r>
        <w:rPr>
          <w:rFonts w:ascii="黑体" w:eastAsia="黑体" w:hAnsi="黑体" w:hint="eastAsia"/>
          <w:sz w:val="32"/>
          <w:szCs w:val="32"/>
          <w:highlight w:val="none"/>
          <w:lang w:eastAsia="zh-CN"/>
        </w:rPr>
        <w:t>（三）国有资产占用情况说明</w:t>
      </w:r>
      <w:bookmarkEnd w:id="31"/>
      <w:bookmarkEnd w:id="32"/>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eastAsia="zh-CN"/>
        </w:rPr>
        <w:t>截止2022年12月31日，固定资产原值0.00万元，房屋0.00平方米，价值0.00万元。车辆0辆，价值0.00万元，其中：副部（省）级及以上领导用车0辆、主要领导干部用车0辆、机要通信用车0辆、应急保障用车0辆、执法执勤用车0辆、特种专业技术用车0辆、离退休干部用车0辆、其他用车0辆，其他用车主要是：我单位无其他用车；单价100万元（含）以上设备（不含车辆）0台（套）。</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lang w:eastAsia="zh-CN"/>
        </w:rPr>
      </w:pPr>
      <w:bookmarkStart w:id="33" w:name="_Toc435"/>
      <w:bookmarkStart w:id="34" w:name="_Toc11283"/>
      <w:r>
        <w:rPr>
          <w:rFonts w:ascii="黑体" w:eastAsia="黑体" w:hAnsi="黑体" w:cs="宋体" w:hint="eastAsia"/>
          <w:kern w:val="0"/>
          <w:sz w:val="32"/>
          <w:szCs w:val="32"/>
          <w:highlight w:val="none"/>
          <w:lang w:eastAsia="zh-CN"/>
        </w:rPr>
        <w:t>十一、预算绩效的情况说明</w:t>
      </w:r>
      <w:bookmarkEnd w:id="33"/>
      <w:bookmarkEnd w:id="34"/>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eastAsia="zh-CN"/>
        </w:rPr>
        <w:t>根据预算绩效管理要求，我单位2022年度开展预算绩效评价项目0个，全年预算数0.00万元，全年执行数0.00万元。预算绩效管理取得的成效：我单位无项目绩效自评表。发现的问题及原因：我单位无项目绩效自评表。下一步改进措施：我单位无项目绩效自评表。</w:t>
      </w:r>
    </w:p>
    <w:p>
      <w:pPr>
        <w:keepNext w:val="0"/>
        <w:keepLines w:val="0"/>
        <w:pageBreakBefore w:val="0"/>
        <w:widowControl w:val="0"/>
        <w:kinsoku/>
        <w:wordWrap/>
        <w:overflowPunct/>
        <w:topLinePunct w:val="0"/>
        <w:autoSpaceDE/>
        <w:autoSpaceDN/>
        <w:adjustRightInd/>
        <w:snapToGrid/>
        <w:spacing w:line="240" w:lineRule="auto"/>
        <w:ind w:firstLine="560" w:firstLineChars="200"/>
        <w:jc w:val="center"/>
        <w:textAlignment w:val="auto"/>
        <w:outlineLvl w:val="0"/>
        <w:rPr>
          <w:rFonts w:ascii="黑体" w:eastAsia="黑体" w:hAnsi="黑体" w:hint="eastAsia"/>
          <w:sz w:val="32"/>
          <w:szCs w:val="32"/>
          <w:highlight w:val="none"/>
        </w:rPr>
      </w:pPr>
      <w:bookmarkStart w:id="35" w:name="_Toc24143"/>
      <w:bookmarkStart w:id="36" w:name="_Toc3250"/>
      <w:r>
        <w:rPr>
          <w:rFonts w:ascii="黑体" w:hint="default"/>
          <w:b/>
          <w:kern w:val="44"/>
          <w:sz w:val="28"/>
        </w:rPr>
        <w:br w:type="page"/>
      </w:r>
      <w:r>
        <w:rPr>
          <w:rFonts w:ascii="黑体" w:hint="default"/>
          <w:b/>
          <w:spacing w:val="40"/>
          <w:sz w:val="28"/>
        </w:rPr>
        <w:t xml:space="preserve"> </w:t>
      </w:r>
      <w:r>
        <w:rPr>
          <w:rFonts w:ascii="黑体" w:eastAsia="黑体" w:hAnsi="黑体" w:hint="eastAsia"/>
          <w:sz w:val="32"/>
          <w:szCs w:val="32"/>
          <w:highlight w:val="none"/>
        </w:rPr>
        <w:t>第三部分 专业名词解释</w:t>
      </w:r>
      <w:bookmarkEnd w:id="35"/>
      <w:bookmarkEnd w:id="36"/>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财政拨款收入：指同级财政当年拨付的资金。</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上级补助收入：指事业单位从主管部门和上级单位取得的非财政补助收入。</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事业收入：指事业单位开展专业业务活动及其辅助活动所取得的收入。</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经营收入：指事业单位在专业业务活动及其辅助活动之外开展非独立核算经营活动取得的收入。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附属单位上缴收入：指事业单位附属的独立核算单位按有关规定上缴的收入。</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其他收入：指除上述“财政拨款收入”、“事业收入”、“经营收入”、“附属单位上缴收入”等之外取得的收入。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lang w:eastAsia="zh-CN"/>
        </w:rPr>
        <w:t>年初</w:t>
      </w:r>
      <w:r>
        <w:rPr>
          <w:rFonts w:ascii="仿宋_GB2312" w:eastAsia="仿宋_GB2312" w:hint="eastAsia"/>
          <w:sz w:val="32"/>
          <w:szCs w:val="32"/>
          <w:highlight w:val="none"/>
        </w:rPr>
        <w:t>结转和结余：指以前年度支出预算因客观条件变化未执行完毕、结转到本年度按有关规定继续使用的资金，既包括财政拨款结转和结余，也包括事业收入、经营收入、其他收入的结转和结余。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基本支出：指为保障机构正常运转、完成日常工作任务而发生的人员支出和公用支出。</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项目支出：指在基本支出之外为完成特定行政任务和事业发展目标所发生的支出。</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经营支出：指事业单位在专业业务活动及其辅助活动之外开展非独立核算经营活动发生的支出。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对附属单位补助支出：指事业单位发生的用非财政预算资金对附属单位的补助支出。</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三公”经费：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机关运行经费：行政单位和参照公务员法管理的事业单位财政拨款基本支出中的公用经费支出。</w:t>
      </w:r>
    </w:p>
    <w:p>
      <w:pPr>
        <w:keepNext w:val="0"/>
        <w:keepLines w:val="0"/>
        <w:pageBreakBefore w:val="0"/>
        <w:widowControl w:val="0"/>
        <w:kinsoku/>
        <w:wordWrap/>
        <w:overflowPunct/>
        <w:topLinePunct w:val="0"/>
        <w:autoSpaceDE/>
        <w:autoSpaceDN/>
        <w:adjustRightInd/>
        <w:snapToGrid/>
        <w:spacing w:line="240" w:lineRule="auto"/>
        <w:ind w:firstLine="560" w:firstLineChars="200"/>
        <w:jc w:val="center"/>
        <w:textAlignment w:val="auto"/>
        <w:outlineLvl w:val="0"/>
        <w:rPr>
          <w:rFonts w:ascii="黑体" w:eastAsia="黑体" w:hAnsi="黑体" w:hint="eastAsia"/>
          <w:sz w:val="32"/>
          <w:szCs w:val="32"/>
          <w:highlight w:val="none"/>
        </w:rPr>
      </w:pPr>
      <w:bookmarkStart w:id="37" w:name="_Toc22784"/>
      <w:bookmarkStart w:id="38" w:name="_Toc28903"/>
      <w:r>
        <w:rPr>
          <w:rFonts w:ascii="黑体" w:hint="default"/>
          <w:b/>
          <w:kern w:val="44"/>
          <w:sz w:val="28"/>
        </w:rPr>
        <w:br w:type="page"/>
      </w:r>
      <w:r>
        <w:rPr>
          <w:rFonts w:ascii="黑体" w:hint="default"/>
          <w:b/>
          <w:spacing w:val="40"/>
          <w:sz w:val="28"/>
        </w:rPr>
        <w:t xml:space="preserve"> </w:t>
      </w:r>
      <w:r>
        <w:rPr>
          <w:rFonts w:ascii="黑体" w:eastAsia="黑体" w:hAnsi="黑体" w:hint="eastAsia"/>
          <w:sz w:val="32"/>
          <w:szCs w:val="32"/>
          <w:highlight w:val="none"/>
        </w:rPr>
        <w:t>第四部分 部门决算报表（见附表）</w:t>
      </w:r>
      <w:bookmarkEnd w:id="37"/>
      <w:bookmarkEnd w:id="38"/>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rPr>
      </w:pPr>
      <w:bookmarkStart w:id="39" w:name="_Toc2183"/>
      <w:bookmarkStart w:id="40" w:name="_Toc6062"/>
      <w:r>
        <w:rPr>
          <w:rFonts w:ascii="黑体" w:eastAsia="黑体" w:hAnsi="黑体" w:cs="宋体" w:hint="eastAsia"/>
          <w:kern w:val="0"/>
          <w:sz w:val="32"/>
          <w:szCs w:val="32"/>
          <w:highlight w:val="none"/>
        </w:rPr>
        <w:t>一、《收入支出决算总表》</w:t>
      </w:r>
      <w:bookmarkEnd w:id="39"/>
      <w:bookmarkEnd w:id="40"/>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rPr>
      </w:pPr>
      <w:bookmarkStart w:id="41" w:name="_Toc30364"/>
      <w:bookmarkStart w:id="42" w:name="_Toc24532"/>
      <w:r>
        <w:rPr>
          <w:rFonts w:ascii="黑体" w:eastAsia="黑体" w:hAnsi="黑体" w:cs="宋体" w:hint="eastAsia"/>
          <w:kern w:val="0"/>
          <w:sz w:val="32"/>
          <w:szCs w:val="32"/>
          <w:highlight w:val="none"/>
        </w:rPr>
        <w:t>二、《收入决算表》</w:t>
      </w:r>
      <w:bookmarkEnd w:id="41"/>
      <w:bookmarkEnd w:id="42"/>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rPr>
      </w:pPr>
      <w:bookmarkStart w:id="43" w:name="_Toc21304"/>
      <w:bookmarkStart w:id="44" w:name="_Toc32434"/>
      <w:r>
        <w:rPr>
          <w:rFonts w:ascii="黑体" w:eastAsia="黑体" w:hAnsi="黑体" w:cs="宋体" w:hint="eastAsia"/>
          <w:kern w:val="0"/>
          <w:sz w:val="32"/>
          <w:szCs w:val="32"/>
          <w:highlight w:val="none"/>
        </w:rPr>
        <w:t>三、《支出决算表》</w:t>
      </w:r>
      <w:bookmarkEnd w:id="43"/>
      <w:bookmarkEnd w:id="44"/>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rPr>
      </w:pPr>
      <w:bookmarkStart w:id="45" w:name="_Toc28786"/>
      <w:bookmarkStart w:id="46" w:name="_Toc14238"/>
      <w:r>
        <w:rPr>
          <w:rFonts w:ascii="黑体" w:eastAsia="黑体" w:hAnsi="黑体" w:cs="宋体" w:hint="eastAsia"/>
          <w:kern w:val="0"/>
          <w:sz w:val="32"/>
          <w:szCs w:val="32"/>
          <w:highlight w:val="none"/>
        </w:rPr>
        <w:t>四、《财政拨款收入支出决算总表》</w:t>
      </w:r>
      <w:bookmarkEnd w:id="45"/>
      <w:bookmarkEnd w:id="46"/>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rPr>
      </w:pPr>
      <w:bookmarkStart w:id="47" w:name="_Toc14869"/>
      <w:bookmarkStart w:id="48" w:name="_Toc10347"/>
      <w:r>
        <w:rPr>
          <w:rFonts w:ascii="黑体" w:eastAsia="黑体" w:hAnsi="黑体" w:cs="宋体" w:hint="eastAsia"/>
          <w:kern w:val="0"/>
          <w:sz w:val="32"/>
          <w:szCs w:val="32"/>
          <w:highlight w:val="none"/>
        </w:rPr>
        <w:t>五、《一般公共预算财政拨款支出决算表》</w:t>
      </w:r>
      <w:bookmarkEnd w:id="47"/>
      <w:bookmarkEnd w:id="48"/>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rPr>
      </w:pPr>
      <w:bookmarkStart w:id="49" w:name="_Toc8884"/>
      <w:bookmarkStart w:id="50" w:name="_Toc5626"/>
      <w:r>
        <w:rPr>
          <w:rFonts w:ascii="黑体" w:eastAsia="黑体" w:hAnsi="黑体" w:cs="宋体" w:hint="eastAsia"/>
          <w:kern w:val="0"/>
          <w:sz w:val="32"/>
          <w:szCs w:val="32"/>
          <w:highlight w:val="none"/>
        </w:rPr>
        <w:t>六、《一般公共预算财政拨款基本支出决算表》</w:t>
      </w:r>
      <w:bookmarkEnd w:id="49"/>
      <w:bookmarkEnd w:id="50"/>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rPr>
      </w:pPr>
      <w:bookmarkStart w:id="51" w:name="_Toc29106"/>
      <w:bookmarkStart w:id="52" w:name="_Toc32663"/>
      <w:r>
        <w:rPr>
          <w:rFonts w:ascii="黑体" w:eastAsia="黑体" w:hAnsi="黑体" w:cs="宋体" w:hint="eastAsia"/>
          <w:kern w:val="0"/>
          <w:sz w:val="32"/>
          <w:szCs w:val="32"/>
          <w:highlight w:val="none"/>
        </w:rPr>
        <w:t>七、《财政拨款“三公”经费支出决算表》</w:t>
      </w:r>
      <w:bookmarkEnd w:id="51"/>
      <w:bookmarkEnd w:id="52"/>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lang w:eastAsia="zh-CN"/>
        </w:rPr>
      </w:pPr>
      <w:bookmarkStart w:id="53" w:name="_Toc7643"/>
      <w:bookmarkStart w:id="54" w:name="_Toc5453"/>
      <w:r>
        <w:rPr>
          <w:rFonts w:ascii="黑体" w:eastAsia="黑体" w:hAnsi="黑体" w:cs="宋体" w:hint="eastAsia"/>
          <w:kern w:val="0"/>
          <w:sz w:val="32"/>
          <w:szCs w:val="32"/>
          <w:highlight w:val="none"/>
        </w:rPr>
        <w:t>八、《政府性基金预算财政拨款收入支出决算表》</w:t>
      </w:r>
      <w:bookmarkEnd w:id="53"/>
      <w:bookmarkEnd w:id="54"/>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lang w:eastAsia="zh-CN"/>
        </w:rPr>
      </w:pPr>
      <w:r>
        <w:rPr>
          <w:rFonts w:ascii="黑体" w:eastAsia="黑体" w:hAnsi="黑体" w:cs="宋体" w:hint="eastAsia"/>
          <w:kern w:val="0"/>
          <w:sz w:val="32"/>
          <w:szCs w:val="32"/>
          <w:highlight w:val="none"/>
        </w:rPr>
        <w:t>九、《国有资本经营预算财政拨款收入支出决算表》</w:t>
      </w:r>
    </w:p>
    <w:p/>
    <w:sectPr>
      <w:footerReference w:type="default" r:id="rId5"/>
      <w:pgSz w:w="11906" w:h="16838"/>
      <w:pgMar w:top="1440" w:right="1800" w:bottom="1440" w:left="1800" w:header="851" w:footer="992" w:gutter="0"/>
      <w:cols w:num="1" w:space="72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tabs>
        <w:tab w:val="center" w:pos="4153"/>
        <w:tab w:val="right" w:pos="8306"/>
      </w:tabs>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a:noFill/>
                      </a:ln>
                    </wps:spPr>
                    <wps:txbx>
                      <w:txbxContent>
                        <w:p>
                          <w:pPr>
                            <w:pStyle w:val="Footer"/>
                            <w:tabs>
                              <w:tab w:val="center" w:pos="4153"/>
                              <w:tab w:val="right" w:pos="8306"/>
                            </w:tabs>
                            <w:rPr>
                              <w:rFonts w:eastAsia="宋体" w:hint="eastAsia"/>
                              <w:lang w:eastAsia="zh-CN"/>
                            </w:rPr>
                          </w:pPr>
                          <w:r>
                            <w:rPr>
                              <w:rFonts w:hint="eastAsia"/>
                              <w:lang w:eastAsia="zh-CN"/>
                            </w:rPr>
                            <w:fldChar w:fldCharType="begin"/>
                          </w:r>
                          <w:r>
                            <w:rPr>
                              <w:rFonts w:hint="eastAsia"/>
                              <w:lang w:eastAsia="zh-CN"/>
                            </w:rPr>
                            <w:instrText xml:space="preserve"> PAGE \* MERGEFORMAT</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wrap="none" lIns="0" tIns="0" rIns="0" bIns="0" upright="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tabs>
                        <w:tab w:val="center" w:pos="4153"/>
                        <w:tab w:val="right" w:pos="8306"/>
                      </w:tabs>
                      <w:rPr>
                        <w:rFonts w:eastAsia="宋体" w:hint="eastAsia"/>
                        <w:lang w:eastAsia="zh-CN"/>
                      </w:rPr>
                    </w:pPr>
                    <w:r>
                      <w:rPr>
                        <w:rFonts w:hint="eastAsia"/>
                        <w:lang w:eastAsia="zh-CN"/>
                      </w:rPr>
                      <w:fldChar w:fldCharType="begin"/>
                    </w:r>
                    <w:r>
                      <w:rPr>
                        <w:rFonts w:hint="eastAsia"/>
                        <w:lang w:eastAsia="zh-CN"/>
                      </w:rPr>
                      <w:instrText xml:space="preserve"> PAGE \* MERGEFORMAT</w:instrText>
                    </w:r>
                    <w:r>
                      <w:rPr>
                        <w:rFonts w:hint="eastAsia"/>
                        <w:lang w:eastAsia="zh-CN"/>
                      </w:rPr>
                      <w:fldChar w:fldCharType="separate"/>
                    </w:r>
                    <w:r>
                      <w:rPr>
                        <w:rFonts w:hint="eastAsia"/>
                        <w:lang w:eastAsia="zh-CN"/>
                      </w:rPr>
                      <w:t>1</w:t>
                    </w:r>
                    <w:r>
                      <w:rPr>
                        <w:rFonts w:hint="eastAsia"/>
                        <w:lang w:eastAsia="zh-CN"/>
                      </w:rP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4B6E46A3"/>
    <w:rsid w:val="51AA0F49"/>
    <w:rsid w:val="5822737A"/>
    <w:rsid w:val="700B4580"/>
    <w:rsid w:val="7D596017"/>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0">
    <w:lsdException w:name="Normal" w:semiHidden="0" w:uiPriority="0" w:unhideWhenUsed="0"/>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qFormat="1"/>
    <w:lsdException w:name="toc 2" w:semiHidden="0" w:uiPriority="0" w:unhideWhenUsed="0" w:qFormat="1"/>
    <w:lsdException w:name="toc 3" w:semiHidden="0" w:uiPriority="0" w:unhideWhenUsed="0" w:qFormat="1"/>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qFormat="1"/>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pPr>
      <w:widowControl w:val="0"/>
      <w:jc w:val="both"/>
    </w:pPr>
    <w:rPr>
      <w:rFonts w:ascii="Times New Roman" w:eastAsia="宋体" w:hAnsi="Times New Roman" w:cs="Times New Roman" w:hint="default"/>
      <w:kern w:val="2"/>
      <w:sz w:val="21"/>
      <w:szCs w:val="24"/>
      <w:lang w:val="en-US" w:eastAsia="zh-CN"/>
    </w:rPr>
  </w:style>
  <w:style w:type="character" w:default="1" w:styleId="DefaultParagraphFont">
    <w:name w:val="Default Paragraph Font"/>
    <w:semiHidden/>
    <w:qFormat/>
  </w:style>
  <w:style w:type="table" w:default="1" w:styleId="TableNormal">
    <w:name w:val="Normal Table"/>
    <w:semiHidden/>
    <w:qFormat/>
    <w:tblPr>
      <w:tblCellMar>
        <w:top w:w="0" w:type="dxa"/>
        <w:left w:w="108" w:type="dxa"/>
        <w:bottom w:w="0" w:type="dxa"/>
        <w:right w:w="108" w:type="dxa"/>
      </w:tblCellMar>
    </w:tblPr>
  </w:style>
  <w:style w:type="paragraph" w:styleId="TOC3">
    <w:name w:val="toc 3"/>
    <w:basedOn w:val="Normal"/>
    <w:next w:val="Normal"/>
    <w:qFormat/>
    <w:pPr>
      <w:ind w:left="840" w:leftChars="400"/>
    </w:pPr>
  </w:style>
  <w:style w:type="paragraph" w:styleId="Footer">
    <w:name w:val="footer"/>
    <w:basedOn w:val="Normal"/>
    <w:qFormat/>
    <w:pPr>
      <w:snapToGrid w:val="0"/>
      <w:jc w:val="left"/>
    </w:pPr>
    <w:rPr>
      <w:sz w:val="18"/>
    </w:rPr>
  </w:style>
  <w:style w:type="paragraph" w:styleId="TOC1">
    <w:name w:val="toc 1"/>
    <w:basedOn w:val="Normal"/>
    <w:next w:val="Normal"/>
    <w:qFormat/>
  </w:style>
  <w:style w:type="paragraph" w:styleId="TOC2">
    <w:name w:val="toc 2"/>
    <w:basedOn w:val="Normal"/>
    <w:next w:val="Normal"/>
    <w:qFormat/>
    <w:pPr>
      <w:ind w:left="420" w:leftChars="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footer" Target="footer1.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Administrator</cp:lastModifiedBy>
  <cp:revision>0</cp:revision>
  <dcterms:created xsi:type="dcterms:W3CDTF">2023-11-17T09:28:00Z</dcterms:created>
  <dcterms:modified xsi:type="dcterms:W3CDTF">2023-02-14T11:23:54Z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E94C96CD9C08445D88DC7183CEA7BA80</vt:lpwstr>
  </property>
  <property fmtid="{D5CDD505-2E9C-101B-9397-08002B2CF9AE}" pid="3" name="KSOProductBuildVer">
    <vt:lpwstr>2052-11.8.2.8555</vt:lpwstr>
  </property>
</Properties>
</file>