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新疆塔城地区乌苏市疾病预防控制中心2022年度部门决算公开说明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0" w:name="_Toc24028"/>
      <w:bookmarkStart w:id="1" w:name="_Toc32314"/>
      <w:r>
        <w:rPr>
          <w:rFonts w:ascii="黑体" w:eastAsia="黑体" w:hAnsi="黑体" w:hint="eastAsia"/>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2" w:name="_Toc30567"/>
      <w:bookmarkStart w:id="3" w:name="_Toc30738"/>
      <w:r>
        <w:rPr>
          <w:rFonts w:ascii="黑体" w:eastAsia="黑体" w:hAnsi="黑体" w:cs="宋体" w:hint="eastAsia"/>
          <w:kern w:val="0"/>
          <w:sz w:val="32"/>
          <w:szCs w:val="32"/>
          <w:highlight w:val="none"/>
        </w:rPr>
        <w:t>一、主要职能</w:t>
      </w:r>
      <w:bookmarkEnd w:id="2"/>
      <w:bookmarkEnd w:id="3"/>
    </w:p>
    <w:p>
      <w:pPr>
        <w:pStyle w:val="ListParagraph"/>
        <w:snapToGrid w:val="0"/>
        <w:spacing w:line="540" w:lineRule="exact"/>
        <w:ind w:firstLine="643"/>
        <w:outlineLvl w:val="2"/>
        <w:rPr>
          <w:rFonts w:ascii="仿宋_GB2312" w:eastAsia="仿宋_GB2312" w:hint="eastAsia"/>
          <w:sz w:val="32"/>
          <w:szCs w:val="32"/>
          <w:highlight w:val="none"/>
        </w:rPr>
      </w:pPr>
      <w:r>
        <w:rPr>
          <w:rFonts w:ascii="仿宋_GB2312" w:eastAsia="仿宋_GB2312" w:hAnsi="Times New Roman" w:cs="Times New Roman" w:hint="eastAsia"/>
          <w:kern w:val="2"/>
          <w:sz w:val="32"/>
          <w:szCs w:val="32"/>
          <w:highlight w:val="none"/>
          <w:lang w:val="en-US" w:eastAsia="zh-CN"/>
        </w:rPr>
        <w:t>乌苏市疾控中心以提供公共卫生服务为主，在做好辖区重点公共卫生项目工作的同时支持和协助相关部门做好预防、保健和其他基本医疗等服务工作，加强城镇儿童疾病预防控制，做好传染病人员信息采集和辖区高血压、糖尿病、重症精神病，65岁以上老人的登记，配合相关部门做好疫情等突发性公共卫生事件报告工作，重点监控严重危害城镇居民儿童身体健康的传染病发病情况，认真执行儿童计划免疫。积极做好城镇居民基本医疗的服务、普及疾病预防和卫生保健知识，指导群众改善居住、饮食、饮水和环境卫生条件，引导和帮助居民建立良好的卫生习惯。</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 w:name="_Toc31238"/>
      <w:bookmarkStart w:id="5"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4"/>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新疆塔城地区乌苏市疾病预防控制中心2022年度，实有人数93人，其中：在职人员44人，离休人员0人，退休人员49人。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疾病预防控制中心部门决算包括：新疆塔城地区乌苏市疾病预防控制中心决算。单位无下属预算单位，下设9个处室，分别是：行政办公室、地方病防治科、结核病防治科、检验科、性病艾滋病防治科、疾病控制科、美沙酮门诊、健康教育科、慢病防治科。</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6" w:name="_Toc29374"/>
      <w:bookmarkStart w:id="7" w:name="_Toc3092"/>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8" w:name="_Toc12566"/>
      <w:bookmarkStart w:id="9" w:name="_Toc25314"/>
      <w:r>
        <w:rPr>
          <w:rFonts w:ascii="黑体" w:eastAsia="黑体" w:hAnsi="黑体" w:cs="宋体" w:hint="eastAsia"/>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收入总计4,430.25万元</w:t>
      </w:r>
      <w:r>
        <w:rPr>
          <w:rFonts w:ascii="仿宋_GB2312" w:eastAsia="仿宋_GB2312" w:hint="eastAsia"/>
          <w:sz w:val="32"/>
          <w:szCs w:val="32"/>
          <w:highlight w:val="none"/>
          <w:lang w:eastAsia="zh-CN"/>
        </w:rPr>
        <w:t>，其中：本年收入合计4,430.25万元，使用非财政拨款结余0.00万元，年初结转和结余0.00万元。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增加3,028.35万元，增长216.02%</w:t>
      </w:r>
      <w:r>
        <w:rPr>
          <w:rFonts w:ascii="仿宋_GB2312" w:eastAsia="仿宋_GB2312" w:hint="eastAsia"/>
          <w:sz w:val="32"/>
          <w:szCs w:val="32"/>
          <w:highlight w:val="none"/>
          <w:lang w:eastAsia="zh-CN"/>
        </w:rPr>
        <w:t>，主要原因：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突发公共卫生事件应急处理费用大幅增加，故本年收入增加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r>
        <w:rPr>
          <w:rFonts w:ascii="仿宋_GB2312" w:eastAsia="仿宋_GB2312" w:hint="eastAsia"/>
          <w:spacing w:val="0"/>
          <w:sz w:val="32"/>
          <w:szCs w:val="32"/>
          <w:highlight w:val="none"/>
        </w:rPr>
        <w:t>本年支出总计4,430.25万元</w:t>
      </w:r>
      <w:r>
        <w:rPr>
          <w:rFonts w:ascii="仿宋_GB2312" w:eastAsia="仿宋_GB2312" w:hint="eastAsia"/>
          <w:sz w:val="32"/>
          <w:szCs w:val="32"/>
          <w:highlight w:val="none"/>
          <w:lang w:eastAsia="zh-CN"/>
        </w:rPr>
        <w:t>，其中：本年支出合计4,430.25万元，结余分配0.00万元，年末结转和结余0.00万元。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，增加3,028.35万元，增长216.02%，主要原因：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rPr>
        <w:t>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0" w:name="_Toc1979"/>
      <w:bookmarkStart w:id="11" w:name="_Toc12142"/>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4,430.25万元，其中：财政拨款收入4,430.25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2" w:name="_Toc27961"/>
      <w:bookmarkStart w:id="13" w:name="_Toc13201"/>
      <w:r>
        <w:rPr>
          <w:rFonts w:ascii="黑体" w:eastAsia="黑体" w:hAnsi="黑体" w:cs="宋体" w:hint="eastAsia"/>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本年支出4,430.25万元，其中：基本支出919.85万元，占20.76%；项目支出3,510.40万元，占79.24%；上缴上级支出0.00万元，占0.00%；经营支出0.00万元，占0.00%；对附属单位补助支出0.00万元，占0.00%。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4" w:name="_Toc26564"/>
      <w:bookmarkStart w:id="15" w:name="_Toc4393"/>
      <w:r>
        <w:rPr>
          <w:rFonts w:ascii="黑体" w:eastAsia="黑体" w:hAnsi="黑体" w:cs="宋体" w:hint="eastAsia"/>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财政拨款收入总计4,430.25万元，其中：年初财政拨款结转和结余0.00万元，财政拨款本年收入4,430.25万元。财政拨款收入总计与上年相比，增加3,028.35万元，增长216.02%，</w:t>
      </w:r>
      <w:r>
        <w:rPr>
          <w:rFonts w:ascii="仿宋_GB2312" w:eastAsia="仿宋_GB2312" w:hint="eastAsia"/>
          <w:sz w:val="32"/>
          <w:szCs w:val="32"/>
          <w:highlight w:val="none"/>
          <w:lang w:eastAsia="zh-CN"/>
        </w:rPr>
        <w:t>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突发公共卫生事件应急处理费用大幅增加，故本年收入增加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财政拨款支出总计4,430.25万元，其中：年末财政拨款结转和结余0.00万元，财政拨款本年支出4,430.25万元。财政拨款支出总计与上年相比，增加3,028.35万元，增长216.02%，</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1.2022年由于新型冠状肺炎疫情爆发，导致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增加。2.</w:t>
      </w:r>
      <w:r>
        <w:rPr>
          <w:rFonts w:ascii="仿宋_GB2312" w:eastAsia="仿宋_GB2312" w:hint="eastAsia"/>
          <w:sz w:val="32"/>
          <w:szCs w:val="32"/>
          <w:highlight w:val="none"/>
          <w:lang w:val="en-US" w:eastAsia="zh-CN"/>
        </w:rPr>
        <w:t>因业务所需2022年度我单位新增人员4人（新招录1人、调入3人（分别从沙湾疾病控制中心调入1人、乌苏市妇幼保健院调入1人、石桥乡人民政府分调入1人）因人员增加同时人员经费有所增加，故我单位人员经费也有所增加</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与年初预算数相比情况：财政拨款收入总计年初预算数4,426.07万元，决算数4,430.25万元，预决算差异率0.09%，</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1</w:t>
      </w:r>
      <w:r>
        <w:rPr>
          <w:rFonts w:ascii="仿宋_GB2312" w:eastAsia="仿宋_GB2312" w:hint="eastAsia"/>
          <w:sz w:val="32"/>
          <w:szCs w:val="32"/>
          <w:highlight w:val="none"/>
          <w:lang w:val="en-US" w:eastAsia="zh-CN"/>
        </w:rPr>
        <w:t>因业务所需2022年度我单位新增人员4人（新招录1人；调入3人（分别从沙湾疾病控制中心调入1人、乌苏市妇幼保健院调入1人、石桥乡人民政府分调入1人）因人员增加同时人员经费有所增加，我单位人员经费也有所增加</w:t>
      </w:r>
      <w:r>
        <w:rPr>
          <w:rFonts w:ascii="仿宋_GB2312" w:eastAsia="仿宋_GB2312" w:hint="eastAsia"/>
          <w:sz w:val="32"/>
          <w:szCs w:val="32"/>
          <w:highlight w:val="none"/>
        </w:rPr>
        <w:t>。</w:t>
      </w:r>
      <w:r>
        <w:rPr>
          <w:rFonts w:ascii="仿宋_GB2312" w:eastAsia="仿宋_GB2312" w:hint="eastAsia"/>
          <w:sz w:val="32"/>
          <w:szCs w:val="32"/>
          <w:highlight w:val="none"/>
          <w:lang w:eastAsia="zh-CN"/>
        </w:rPr>
        <w:t>故</w:t>
      </w:r>
      <w:r>
        <w:rPr>
          <w:rFonts w:ascii="仿宋_GB2312" w:eastAsia="仿宋_GB2312" w:hint="eastAsia"/>
          <w:sz w:val="32"/>
          <w:szCs w:val="32"/>
          <w:highlight w:val="none"/>
        </w:rPr>
        <w:t>财政拨款收入</w:t>
      </w:r>
      <w:r>
        <w:rPr>
          <w:rFonts w:ascii="仿宋_GB2312" w:eastAsia="仿宋_GB2312" w:hint="eastAsia"/>
          <w:sz w:val="32"/>
          <w:szCs w:val="32"/>
          <w:highlight w:val="none"/>
          <w:lang w:eastAsia="zh-CN"/>
        </w:rPr>
        <w:t>决算数大于预算数。</w:t>
      </w:r>
      <w:r>
        <w:rPr>
          <w:rFonts w:ascii="仿宋_GB2312" w:eastAsia="仿宋_GB2312" w:hint="eastAsia"/>
          <w:sz w:val="32"/>
          <w:szCs w:val="32"/>
          <w:highlight w:val="none"/>
        </w:rPr>
        <w:t>财政拨款支出总计年初预算数4,426.07万元，决算数4,430.25万元，预决算差异率0.09%，</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1</w:t>
      </w:r>
      <w:r>
        <w:rPr>
          <w:rFonts w:ascii="仿宋_GB2312" w:eastAsia="仿宋_GB2312" w:hint="eastAsia"/>
          <w:sz w:val="32"/>
          <w:szCs w:val="32"/>
          <w:highlight w:val="none"/>
          <w:lang w:val="en-US" w:eastAsia="zh-CN"/>
        </w:rPr>
        <w:t>因业务所需2022年度我单位新增人员4人（新招录1人；调入3人（分别从沙湾疾病控制中心调入1人、乌苏市妇幼保健院调入1人、石桥乡人民政府调入1人）因人员增加同时人员经费有所增加，我单位人员经费也有所增加</w:t>
      </w:r>
      <w:r>
        <w:rPr>
          <w:rFonts w:ascii="仿宋_GB2312" w:eastAsia="仿宋_GB2312" w:hint="eastAsia"/>
          <w:sz w:val="32"/>
          <w:szCs w:val="32"/>
          <w:highlight w:val="none"/>
        </w:rPr>
        <w:t>。</w:t>
      </w:r>
      <w:r>
        <w:rPr>
          <w:rFonts w:ascii="仿宋_GB2312" w:eastAsia="仿宋_GB2312" w:hint="eastAsia"/>
          <w:sz w:val="32"/>
          <w:szCs w:val="32"/>
          <w:highlight w:val="none"/>
          <w:lang w:eastAsia="zh-CN"/>
        </w:rPr>
        <w:t>故</w:t>
      </w:r>
      <w:r>
        <w:rPr>
          <w:rFonts w:ascii="仿宋_GB2312" w:eastAsia="仿宋_GB2312" w:hint="eastAsia"/>
          <w:sz w:val="32"/>
          <w:szCs w:val="32"/>
          <w:highlight w:val="none"/>
        </w:rPr>
        <w:t>财政拨款</w:t>
      </w:r>
      <w:r>
        <w:rPr>
          <w:rFonts w:ascii="仿宋_GB2312" w:eastAsia="仿宋_GB2312" w:hint="eastAsia"/>
          <w:sz w:val="32"/>
          <w:szCs w:val="32"/>
          <w:highlight w:val="none"/>
          <w:lang w:eastAsia="zh-CN"/>
        </w:rPr>
        <w:t>支出决算数大于预算数。</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6" w:name="_Toc13833"/>
      <w:bookmarkStart w:id="17" w:name="_Toc20360"/>
      <w:r>
        <w:rPr>
          <w:rFonts w:ascii="黑体" w:eastAsia="黑体" w:hAnsi="黑体" w:cs="宋体" w:hint="eastAsia"/>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一般公共预算财政拨款支出4,430.25万元，占本年支出合计的100.00%，与上年相比，增加3,028.35万元，增长216.02%，</w:t>
      </w:r>
      <w:r>
        <w:rPr>
          <w:rFonts w:ascii="仿宋_GB2312" w:eastAsia="仿宋_GB2312" w:hint="eastAsia"/>
          <w:sz w:val="32"/>
          <w:szCs w:val="32"/>
          <w:highlight w:val="none"/>
          <w:lang w:eastAsia="zh-CN"/>
        </w:rPr>
        <w:t>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rPr>
        <w:t>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lang w:val="en-US" w:eastAsia="zh-CN"/>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1.社会保障和就业支出（类）86.26万元，占1.95%。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2.卫生健康支出（类）4,288.39万元，占96.80%。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3.农林水支出（类）0.10万元，占0.00%。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4.住房保障支出（类）52.84万元，占1.19%。</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5.其他支出（类）2.67万元，占0.06%。</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sz w:val="32"/>
          <w:szCs w:val="32"/>
          <w:highlight w:val="red"/>
          <w:lang w:val="en-US" w:eastAsia="zh-CN"/>
        </w:rPr>
      </w:pPr>
      <w:r>
        <w:rPr>
          <w:rFonts w:ascii="仿宋_GB2312" w:eastAsia="仿宋_GB2312" w:hint="eastAsia"/>
          <w:sz w:val="32"/>
          <w:szCs w:val="32"/>
          <w:highlight w:val="none"/>
          <w:lang w:val="en-US" w:eastAsia="zh-CN"/>
        </w:rPr>
        <w:t>1.社会保障和就业支出（类）行政事业单位养老支出（款）事业单位离退休（项）：支出决算数为17.98万元，比上年决算增加17.98万元，增长100%，主要原因是：因我单位新增退休人员1人，离退休人员经费有所增加，因此相比上年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63.81万元，比上年决算增加7.32万元，增长12.94%，主要原因是：因业务所需2022年度我单位新增人员4人（新招录1人；调入3人（分别从沙湾疾病控制中心调入1人、乌苏市妇幼保健院调入1人、石桥乡人民政府分别调入1人）因人员增加的同时新增人员的机关事业养老经费有所增加，养老保险支出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社会保障和就业支出（类）行政事业单位养老支出（款）机关事业单位职业年金缴费支出（项）：支出决算数为4.46万元，比上年决算增加1.13万元，增长33.53%，主要原因是：因业务所需2022年度我单位新增人员4人（新招录1人；调入3人（分别从沙湾疾病控制中心调入1人、乌苏市妇幼保健院调入1人、石桥乡人民政府调入1人）因人员增加的同时新增人员的职业年金有所增加，故机关事业单位职业年金缴费金额有所增加，机关事业单位职业年金支出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卫生健康支出（类）公共卫生（款）疾病预防控制机构（项）：支出决算数为723.92万元，比上年决算增加333.17万元，增长85.26%，主要原因是：2022年由于新型冠状肺炎疫情爆发，导致基本公共卫生服务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卫生健康支出（类）公共卫生（款）基本公共卫生服务（项）：支出决算数为71.40万元，比上年决算增加0.90万元，增长1.28%，主要原因是：2022年由于新型冠状肺炎疫情爆发，导致基本公共卫生服务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6.卫生健康支出（类）公共卫生（款）重大公共卫生服务（项）：支出决算数为225.84万元，比上年决算增加99.30万元，增长78.47%，主要原因是：2022年由于新型冠状肺炎疫情爆发，导致重大公共卫生服务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7.卫生健康支出（类）公共卫生（款）突发公共卫生事件应急处理（项）：支出决算数为3,200.39万元，比上年决算增加2,599.90万元，增长432.96%，主要原因是：2022年由于新型冠状肺炎疫情爆发，导致突发公共卫生事件应急处理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8.卫生健康支出（类）公共卫生（款）其他公共卫生支出（项）：支出决算数为10.00万元，比上年决算增加10.00万元，增长100%，主要原因是：2022年由于新型冠状肺炎疫情爆发，导致其他公共卫生支出费用大幅增加，故本年决算数比上年决算数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9.卫生健康支出（类）行政事业单位医疗（款）事业单位医疗（项）：支出决算数为56.83万元，比上年决算减少3.62万元，下降5.99%，主要原因是：由于单位退休1人，死亡1人，故本年决算数比上年决算数有所减少。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10.农林水支出（类）农业农村（款）其他农业农村支出（项）：支出决算数为0.10万元，比上年决算增加0.10万元，增长100%，主要原因是：由于上年度F经费有欠款，支付上年欠款结余，故本年度决算数据比上年度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11.住房保障支出（类）住房改革支出（款）住房公积金（项）：支出决算数为52.84万元，比上年决算增加12.38万元，增长30.60%，主要原因是：因业务所需2022年度我单位新增人员4人（新招录1人；调入3人（分别从沙湾疾病控制中心调入1人、乌苏市妇幼保健院调入1人、石桥乡人民政府调入1人）因人员增加的同时新增人员的公积金缴费就有所增加，公积金缴费金额有所增加，机关事业单位公积金支出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lang w:val="en-US" w:eastAsia="zh-CN"/>
        </w:rPr>
        <w:t>12.其他支出（类）其他支出（款）其他支出（项）：支出决算数为2.67万元，比上年决算增加0.72万元，增长36.92%，主要原因是：因业务所需2022年度我单位新增人员4人（新招录1人；调入3人（分别从沙湾疾病控制中心调入1人、乌苏市妇幼保健院调入1人、石桥乡人民政府调入1人）因人员增加的同时新增人员的其他社保缴费金额增加，支出就有所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8" w:name="_Toc30870"/>
      <w:bookmarkStart w:id="19" w:name="_Toc11146"/>
      <w:r>
        <w:rPr>
          <w:rFonts w:ascii="黑体" w:eastAsia="黑体" w:hAnsi="黑体" w:cs="宋体" w:hint="eastAsia"/>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2022年度一般公共预算财政拨款基本支出919.85万元，其中：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人员经费919.85万元，包括：基本工资、津贴补贴、奖金、绩效工资、机关事业单位基本养老保险缴费、职业年金缴费、职工基本医疗保险缴费、其他社会保障缴费、住房公积金、退休费、抚恤金、生活补助。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公用经费0.00万元。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0" w:name="_Toc7190"/>
      <w:bookmarkStart w:id="21" w:name="_Toc21518"/>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0"/>
      <w:bookmarkEnd w:id="21"/>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财政拨款“三公”经费支出决算2.00万元，比上年减少0.00万元，下降0.00%，主要原因是：</w:t>
      </w:r>
      <w:r>
        <w:rPr>
          <w:rFonts w:ascii="仿宋_GB2312" w:eastAsia="仿宋_GB2312" w:hint="eastAsia"/>
          <w:sz w:val="32"/>
          <w:szCs w:val="32"/>
          <w:highlight w:val="none"/>
          <w:lang w:val="en-US" w:eastAsia="zh-CN"/>
        </w:rPr>
        <w:t>与上年一致，无差异</w:t>
      </w:r>
      <w:r>
        <w:rPr>
          <w:rFonts w:ascii="仿宋_GB2312" w:eastAsia="仿宋_GB2312" w:hint="eastAsia"/>
          <w:sz w:val="32"/>
          <w:szCs w:val="32"/>
          <w:highlight w:val="none"/>
        </w:rPr>
        <w:t>。其中：因公出国（境）费支出0.00万元，占0.00%，比上年增加0.00万元，增长0.00%，主要原因是：2022年度我单位无因公出国（境）费预算</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；公务用车购置及运行维护费支出2.00万元，占100.00%，比上年减少0.00万元，下降0.00%，主要原因是：</w:t>
      </w:r>
      <w:r>
        <w:rPr>
          <w:rFonts w:ascii="仿宋_GB2312" w:eastAsia="仿宋_GB2312" w:hint="eastAsia"/>
          <w:sz w:val="32"/>
          <w:szCs w:val="32"/>
          <w:highlight w:val="none"/>
          <w:lang w:val="en-US" w:eastAsia="zh-CN"/>
        </w:rPr>
        <w:t>本单位严格执行预算安排</w:t>
      </w:r>
      <w:r>
        <w:rPr>
          <w:rFonts w:ascii="仿宋_GB2312" w:eastAsia="仿宋_GB2312" w:hint="eastAsia"/>
          <w:sz w:val="32"/>
          <w:szCs w:val="32"/>
          <w:highlight w:val="none"/>
        </w:rPr>
        <w:t>；公务接待费支出0.00万元，占0.00%，比上年增加0.00万元，增长0.00%，主要原因是：我单位无公务接待费预算</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因公出国（境）费支出0.00万元，开支内容包括我单位无因公出国（境）费预算，故无因公出国（境）费支出。单位全年安排的因公出国（境）团组0个，因公出国（境）0人次。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公务用车购置及运行维护费2.0</w:t>
      </w:r>
      <w:bookmarkStart w:id="22" w:name="_GoBack"/>
      <w:bookmarkEnd w:id="22"/>
      <w:r>
        <w:rPr>
          <w:rFonts w:ascii="仿宋_GB2312" w:eastAsia="仿宋_GB2312" w:hint="eastAsia"/>
          <w:sz w:val="32"/>
          <w:szCs w:val="32"/>
          <w:highlight w:val="none"/>
        </w:rPr>
        <w:t>0万元，其中：公务用车购置费0.00万元，公务用车运行维护费2.00万元。公务用车运行维护费开支内容包括车辆燃油费、车辆维护费、车辆保险费。公务用车购置数0辆，公务用车保有量16辆。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公务接待费0.00万元，开支内容包括我单位无公务接待费预算，故无公务接待费开支。单位全年安排的国内公务接待0批次，0人次。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与全年预算数相比情况：“三公”经费支出全年预算数2.00万元，决算数2.00万元，预决算差异率0.00%，主要原因是：</w:t>
      </w:r>
      <w:r>
        <w:rPr>
          <w:rFonts w:ascii="仿宋_GB2312" w:eastAsia="仿宋_GB2312" w:hint="eastAsia"/>
          <w:sz w:val="32"/>
          <w:szCs w:val="32"/>
          <w:highlight w:val="none"/>
          <w:lang w:val="en-US" w:eastAsia="zh-CN"/>
        </w:rPr>
        <w:t>本单位严格执行预算安排，预算数和决算数一致</w:t>
      </w:r>
      <w:r>
        <w:rPr>
          <w:rFonts w:ascii="仿宋_GB2312" w:eastAsia="仿宋_GB2312" w:hint="eastAsia"/>
          <w:sz w:val="32"/>
          <w:szCs w:val="32"/>
          <w:highlight w:val="none"/>
        </w:rPr>
        <w:t>，预决算无差异。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公务用车运行费全年预算数2.00万元，决算数2.00万元，预决算差异率0.00%，主要原因是：</w:t>
      </w:r>
      <w:r>
        <w:rPr>
          <w:rFonts w:ascii="仿宋_GB2312" w:eastAsia="仿宋_GB2312" w:hint="eastAsia"/>
          <w:sz w:val="32"/>
          <w:szCs w:val="32"/>
          <w:highlight w:val="none"/>
          <w:lang w:val="en-US" w:eastAsia="zh-CN"/>
        </w:rPr>
        <w:t>公车</w:t>
      </w:r>
      <w:r>
        <w:rPr>
          <w:rFonts w:ascii="仿宋_GB2312" w:eastAsia="仿宋_GB2312" w:hint="eastAsia"/>
          <w:sz w:val="32"/>
          <w:szCs w:val="32"/>
          <w:highlight w:val="none"/>
        </w:rPr>
        <w:t>运行维护费2.00万元</w:t>
      </w:r>
      <w:r>
        <w:rPr>
          <w:rFonts w:ascii="仿宋_GB2312" w:eastAsia="仿宋_GB2312" w:hint="eastAsia"/>
          <w:sz w:val="32"/>
          <w:szCs w:val="32"/>
          <w:highlight w:val="none"/>
          <w:lang w:eastAsia="zh-CN"/>
        </w:rPr>
        <w:t>，</w:t>
      </w:r>
      <w:r>
        <w:rPr>
          <w:rFonts w:ascii="仿宋_GB2312" w:eastAsia="仿宋_GB2312" w:hint="eastAsia"/>
          <w:sz w:val="32"/>
          <w:szCs w:val="32"/>
          <w:highlight w:val="none"/>
          <w:lang w:val="en-US" w:eastAsia="zh-CN"/>
        </w:rPr>
        <w:t>主要用于我单位</w:t>
      </w:r>
      <w:r>
        <w:rPr>
          <w:rFonts w:ascii="仿宋_GB2312" w:eastAsia="仿宋_GB2312" w:hAnsi="宋体" w:cs="宋体" w:hint="eastAsia"/>
          <w:kern w:val="0"/>
          <w:sz w:val="32"/>
          <w:szCs w:val="32"/>
          <w:highlight w:val="none"/>
        </w:rPr>
        <w:t>公务用车运行费</w:t>
      </w:r>
      <w:r>
        <w:rPr>
          <w:rFonts w:ascii="仿宋_GB2312" w:eastAsia="仿宋_GB2312" w:hAnsi="宋体" w:cs="宋体" w:hint="eastAsia"/>
          <w:kern w:val="0"/>
          <w:sz w:val="32"/>
          <w:szCs w:val="32"/>
          <w:highlight w:val="none"/>
          <w:lang w:eastAsia="zh-CN"/>
        </w:rPr>
        <w:t>，</w:t>
      </w:r>
      <w:r>
        <w:rPr>
          <w:rFonts w:ascii="仿宋_GB2312" w:eastAsia="仿宋_GB2312" w:hint="eastAsia"/>
          <w:sz w:val="32"/>
          <w:szCs w:val="32"/>
          <w:highlight w:val="none"/>
          <w:lang w:val="en-US" w:eastAsia="zh-CN"/>
        </w:rPr>
        <w:t>本单位严格执行预算安排，预算数和决算数一致</w:t>
      </w:r>
      <w:r>
        <w:rPr>
          <w:rFonts w:ascii="仿宋_GB2312" w:eastAsia="仿宋_GB2312" w:hint="eastAsia"/>
          <w:sz w:val="32"/>
          <w:szCs w:val="32"/>
          <w:highlight w:val="none"/>
        </w:rPr>
        <w:t>，预决算无差异</w:t>
      </w:r>
      <w:r>
        <w:rPr>
          <w:rFonts w:ascii="仿宋_GB2312" w:eastAsia="仿宋_GB2312" w:hAnsi="宋体" w:cs="宋体" w:hint="eastAsia"/>
          <w:kern w:val="0"/>
          <w:sz w:val="32"/>
          <w:szCs w:val="32"/>
          <w:highlight w:val="none"/>
          <w:lang w:eastAsia="zh-CN"/>
        </w:rPr>
        <w:t>。</w:t>
      </w:r>
      <w:r>
        <w:rPr>
          <w:rFonts w:ascii="仿宋_GB2312" w:eastAsia="仿宋_GB2312" w:hAnsi="宋体" w:cs="宋体" w:hint="eastAsia"/>
          <w:kern w:val="0"/>
          <w:sz w:val="32"/>
          <w:szCs w:val="32"/>
          <w:highlight w:val="none"/>
          <w:lang w:val="en-US" w:eastAsia="zh-CN"/>
        </w:rPr>
        <w:t>2022年度公车运行正常，故</w:t>
      </w:r>
      <w:r>
        <w:rPr>
          <w:rFonts w:ascii="仿宋_GB2312" w:eastAsia="仿宋_GB2312" w:hAnsi="宋体" w:cs="宋体" w:hint="eastAsia"/>
          <w:kern w:val="0"/>
          <w:sz w:val="32"/>
          <w:szCs w:val="32"/>
          <w:highlight w:val="none"/>
        </w:rPr>
        <w:t>预算数和决算数无变化，预决算无差异；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5810"/>
      <w:bookmarkStart w:id="24" w:name="_Toc7927"/>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我单位本年度无政府性基金预算财政拨款收入、支出及结转和结余，</w:t>
      </w:r>
      <w:r>
        <w:rPr>
          <w:rFonts w:ascii="仿宋_GB2312" w:eastAsia="仿宋_GB2312" w:hint="eastAsia"/>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3105"/>
      <w:bookmarkStart w:id="28" w:name="_Toc14519"/>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2022年度新疆塔城地区乌苏市疾病预防控制中心（事业单位）公用经费0.00万元，比上年减少3.67万元，下降100%，主要原因是：因疫情原因，我单位业务量减少，</w:t>
      </w:r>
      <w:r>
        <w:rPr>
          <w:rFonts w:ascii="仿宋_GB2312" w:eastAsia="仿宋_GB2312" w:hint="eastAsia"/>
          <w:sz w:val="32"/>
          <w:szCs w:val="32"/>
          <w:highlight w:val="none"/>
          <w:lang w:val="en-US" w:eastAsia="zh-CN"/>
        </w:rPr>
        <w:t>同时公用经费支出相对减少，故</w:t>
      </w:r>
      <w:r>
        <w:rPr>
          <w:rFonts w:ascii="仿宋_GB2312" w:eastAsia="仿宋_GB2312" w:hint="eastAsia"/>
          <w:sz w:val="32"/>
          <w:szCs w:val="32"/>
          <w:highlight w:val="none"/>
        </w:rPr>
        <w:t>对比上年度公用经费减少3.67万元。</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27"/>
      <w:bookmarkStart w:id="30" w:name="_Toc26704"/>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2022年度政府采购支出总额150.72万元，其中：政府采购货物支出116.72万元、政府采购工程支出32.47万元、政府采购服务支出1.53万元。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150.72</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150.72</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4591"/>
      <w:bookmarkStart w:id="32" w:name="_Toc83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截止2022年12月31日，固定资产原值3,245.84万元，房屋5,811.95平方米，价值886.21万元。车辆1</w:t>
      </w:r>
      <w:r>
        <w:rPr>
          <w:rFonts w:ascii="仿宋_GB2312" w:eastAsia="仿宋_GB2312" w:hint="eastAsia"/>
          <w:sz w:val="32"/>
          <w:szCs w:val="32"/>
          <w:highlight w:val="none"/>
          <w:lang w:val="en-US" w:eastAsia="zh-CN"/>
        </w:rPr>
        <w:t>7</w:t>
      </w:r>
      <w:r>
        <w:rPr>
          <w:rFonts w:ascii="仿宋_GB2312" w:eastAsia="仿宋_GB2312" w:hint="eastAsia"/>
          <w:sz w:val="32"/>
          <w:szCs w:val="32"/>
          <w:highlight w:val="none"/>
          <w:lang w:eastAsia="zh-CN"/>
        </w:rPr>
        <w:t>辆，价值323.92万元，其中：副部（省）级及以上领导用车0辆、主要领导干部用车0辆、机要通信用车0辆、应急保障用车3辆、执法执勤用车0辆、特种专业技术用车3辆、离退休干部用车0辆、其他用车11辆，其他用车主要是：</w:t>
      </w:r>
      <w:r>
        <w:rPr>
          <w:rFonts w:ascii="仿宋_GB2312" w:eastAsia="仿宋_GB2312" w:hAnsi="Times New Roman" w:cs="Times New Roman" w:hint="eastAsia"/>
          <w:sz w:val="32"/>
          <w:szCs w:val="32"/>
          <w:highlight w:val="none"/>
          <w:lang w:val="en-US" w:eastAsia="zh-CN"/>
        </w:rPr>
        <w:t>越野车4辆、小型客车2辆、厢式专用汽车2辆、</w:t>
      </w:r>
      <w:r>
        <w:rPr>
          <w:rFonts w:ascii="仿宋_GB2312" w:eastAsia="仿宋_GB2312" w:cs="Times New Roman" w:hint="eastAsia"/>
          <w:sz w:val="32"/>
          <w:szCs w:val="32"/>
          <w:highlight w:val="none"/>
          <w:lang w:val="en-US" w:eastAsia="zh-CN"/>
        </w:rPr>
        <w:t>医疗车3辆</w:t>
      </w:r>
      <w:r>
        <w:rPr>
          <w:rFonts w:ascii="仿宋_GB2312" w:eastAsia="仿宋_GB2312" w:hAnsi="Times New Roman" w:cs="Times New Roman" w:hint="eastAsia"/>
          <w:sz w:val="32"/>
          <w:szCs w:val="32"/>
          <w:highlight w:val="none"/>
          <w:lang w:eastAsia="zh-CN"/>
        </w:rPr>
        <w:t>；</w:t>
      </w:r>
      <w:r>
        <w:rPr>
          <w:rFonts w:ascii="仿宋_GB2312" w:eastAsia="仿宋_GB2312" w:hint="eastAsia"/>
          <w:sz w:val="32"/>
          <w:szCs w:val="32"/>
          <w:highlight w:val="none"/>
          <w:lang w:eastAsia="zh-CN"/>
        </w:rPr>
        <w:t>单价100万元（含）以上设备（不含车辆）0台（套）；单价100万元（含）以上设备（不含车辆）5台（套）。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根据预算绩效管理要求，我单位2022年度开展预算绩效评价项目1个，全年预算数</w:t>
      </w:r>
      <w:r>
        <w:rPr>
          <w:rFonts w:ascii="仿宋_GB2312" w:eastAsia="仿宋_GB2312" w:hint="eastAsia"/>
          <w:sz w:val="32"/>
          <w:szCs w:val="32"/>
          <w:highlight w:val="none"/>
          <w:lang w:val="en-US" w:eastAsia="zh-CN"/>
        </w:rPr>
        <w:t>3200.39</w:t>
      </w:r>
      <w:r>
        <w:rPr>
          <w:rFonts w:ascii="仿宋_GB2312" w:eastAsia="仿宋_GB2312" w:hint="eastAsia"/>
          <w:sz w:val="32"/>
          <w:szCs w:val="32"/>
          <w:highlight w:val="none"/>
          <w:lang w:eastAsia="zh-CN"/>
        </w:rPr>
        <w:t>万元，全年执行数</w:t>
      </w:r>
      <w:r>
        <w:rPr>
          <w:rFonts w:ascii="仿宋_GB2312" w:eastAsia="仿宋_GB2312" w:hint="eastAsia"/>
          <w:sz w:val="32"/>
          <w:szCs w:val="32"/>
          <w:highlight w:val="none"/>
          <w:lang w:val="en-US" w:eastAsia="zh-CN"/>
        </w:rPr>
        <w:t>3200.39</w:t>
      </w:r>
      <w:r>
        <w:rPr>
          <w:rFonts w:ascii="仿宋_GB2312" w:eastAsia="仿宋_GB2312" w:hint="eastAsia"/>
          <w:sz w:val="32"/>
          <w:szCs w:val="32"/>
          <w:highlight w:val="none"/>
          <w:lang w:eastAsia="zh-CN"/>
        </w:rPr>
        <w:t>万元。预算绩效管理取得的成效：一是通过单位预决算收入对比，分析部门全年预算编制的科学合理性以及预算在年度执行中的约束力；二是通过收入结构分析，可以了解各单位收入构成情况，分析单位年初预算各项收入编制的科学合理性，单位经费自给能力以及收入的合理合规性；指导单位合理编制年度预算。通过支出结构分析，可以分析单位支出保障情况及经费宽紧度，分析单位支出结构的合理性，以合理安排支出预算。发现的问题及原因：一是部门单位决算数据分析没有深度，分析停留问题表面；二是单位决算数据分析结果运用效果不到位。下一步改进措施：一是我单位已经向上级部门申请增加人员编制，以适应新形势下卫生防疫防控工作；二是财务人员要加强学习，提升自身政治修养和业务素质，更好的完成领导交办的工作和本职工作。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6062"/>
      <w:bookmarkStart w:id="40" w:name="_Toc2183"/>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30364"/>
      <w:bookmarkStart w:id="42" w:name="_Toc24532"/>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4869"/>
      <w:bookmarkStart w:id="48" w:name="_Toc10347"/>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32663"/>
      <w:bookmarkStart w:id="52" w:name="_Toc29106"/>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5453"/>
      <w:bookmarkStart w:id="54" w:name="_Toc764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3F501C"/>
    <w:rsid w:val="058E0D49"/>
    <w:rsid w:val="1DE23739"/>
    <w:rsid w:val="20523F03"/>
    <w:rsid w:val="25B07665"/>
    <w:rsid w:val="271C0D8C"/>
    <w:rsid w:val="300F7623"/>
    <w:rsid w:val="32663A6A"/>
    <w:rsid w:val="37CA35C9"/>
    <w:rsid w:val="39D566C4"/>
    <w:rsid w:val="441D600D"/>
    <w:rsid w:val="447D6774"/>
    <w:rsid w:val="5E702A1F"/>
    <w:rsid w:val="5FB56F85"/>
    <w:rsid w:val="65D93859"/>
    <w:rsid w:val="6B9D37AC"/>
    <w:rsid w:val="73C85306"/>
    <w:rsid w:val="787C6061"/>
    <w:rsid w:val="7C0F20D5"/>
    <w:rsid w:val="7E104719"/>
  </w:rsids>
  <w:docVars>
    <w:docVar w:name="commondata" w:val="eyJoZGlkIjoiZDc1Yzk1ZGQ2ZjY2OGUxNzYxYWUxYWZjM2Q4ZGNhNzc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nhideWhenUsed="0" w:qFormat="1"/>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Indent2"/>
    <w:qFormat/>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tyle>
  <w:style w:type="table" w:default="1" w:styleId="TableNormal">
    <w:name w:val="Normal Table"/>
    <w:semiHidden/>
    <w:tblPr>
      <w:tblCellMar>
        <w:top w:w="0" w:type="dxa"/>
        <w:left w:w="108" w:type="dxa"/>
        <w:bottom w:w="0" w:type="dxa"/>
        <w:right w:w="108" w:type="dxa"/>
      </w:tblCellMar>
    </w:tblPr>
  </w:style>
  <w:style w:type="paragraph" w:styleId="BodyTextIndent2">
    <w:name w:val="Body Text Indent 2"/>
    <w:basedOn w:val="Normal"/>
    <w:uiPriority w:val="99"/>
    <w:qFormat/>
    <w:pPr>
      <w:spacing w:line="600" w:lineRule="exact"/>
      <w:ind w:firstLine="600"/>
    </w:pPr>
    <w:rPr>
      <w:rFonts w:eastAsia="仿宋"/>
      <w:color w:val="000000"/>
      <w:kern w:val="1"/>
      <w:sz w:val="30"/>
      <w:szCs w:val="30"/>
    </w:r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character" w:styleId="Strong">
    <w:name w:val="Strong"/>
    <w:basedOn w:val="DefaultParagraphFont"/>
    <w:qFormat/>
    <w:rPr>
      <w:b/>
      <w:bCs/>
    </w:rPr>
  </w:style>
  <w:style w:type="paragraph" w:styleId="ListParagraph">
    <w:name w:val="List Paragraph"/>
    <w:basedOn w:val="Normal"/>
    <w:uiPriority w:val="99"/>
    <w:unhideWhenUsed/>
    <w:qFormat/>
    <w:pPr>
      <w:ind w:firstLine="420" w:firstLineChars="200"/>
    </w:pPr>
  </w:style>
  <w:style w:type="paragraph" w:customStyle="1" w:styleId="WPSOffice3">
    <w:name w:val="WPSOffice手动目录 3"/>
    <w:qFormat/>
    <w:pPr>
      <w:ind w:left="400" w:leftChars="400"/>
    </w:pPr>
    <w:rPr>
      <w:rFonts w:ascii="Times New Roman" w:eastAsia="宋体" w:hAnsi="Times New Roman" w:cs="Times New Roman"/>
      <w:sz w:val="20"/>
      <w:szCs w:val="20"/>
    </w:rPr>
  </w:style>
  <w:style w:type="paragraph" w:customStyle="1" w:styleId="WPSOffice1">
    <w:name w:val="WPSOffice手动目录 1"/>
    <w:qFormat/>
    <w:pPr>
      <w:ind w:leftChars="0"/>
    </w:pPr>
    <w:rPr>
      <w:rFonts w:ascii="Times New Roman" w:eastAsia="宋体" w:hAnsi="Times New Roman" w:cs="Times New Roman"/>
      <w:sz w:val="20"/>
      <w:szCs w:val="20"/>
    </w:rPr>
  </w:style>
  <w:style w:type="paragraph" w:customStyle="1" w:styleId="WPSOffice2">
    <w:name w:val="WPSOffice手动目录 2"/>
    <w:qFormat/>
    <w:pPr>
      <w:ind w:left="200" w:leftChars="200"/>
    </w:pPr>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lenovo</cp:lastModifiedBy>
  <cp:revision>0</cp:revision>
  <dcterms:created xsi:type="dcterms:W3CDTF">2014-10-29T12:08:00Z</dcterms:created>
  <dcterms:modified xsi:type="dcterms:W3CDTF">2023-02-14T15:14:49Z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EF9A6B15CC0845BEB676C8533A700ABA</vt:lpwstr>
  </property>
  <property fmtid="{D5CDD505-2E9C-101B-9397-08002B2CF9AE}" pid="3" name="KSOProductBuildVer">
    <vt:lpwstr>2052-11.8.2.8555</vt:lpwstr>
  </property>
</Properties>
</file>