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pacing w:line="480" w:lineRule="auto"/>
        <w:ind w:firstLine="0" w:firstLineChars="0"/>
        <w:rPr>
          <w:rFonts w:ascii="Times New Roman" w:eastAsia="黑体" w:hAnsi="Times New Roman" w:cs="Times New Roman" w:hint="eastAsia"/>
          <w:b/>
          <w:kern w:val="0"/>
          <w:sz w:val="50"/>
          <w:szCs w:val="50"/>
          <w:lang w:bidi="en-US"/>
        </w:rPr>
      </w:pPr>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rPr>
          <w:rFonts w:ascii="Times New Roman" w:eastAsia="黑体" w:hAnsi="Times New Roman" w:cs="Times New Roman" w:hint="eastAsia"/>
          <w:b/>
          <w:kern w:val="0"/>
          <w:sz w:val="50"/>
          <w:szCs w:val="50"/>
          <w:lang w:bidi="en-US"/>
        </w:rPr>
      </w:pPr>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before="120" w:after="120" w:line="480" w:lineRule="auto"/>
        <w:ind w:firstLine="0" w:firstLineChars="0"/>
        <w:jc w:val="center"/>
        <w:rPr>
          <w:rFonts w:ascii="仿宋_GB2312" w:hAnsi="Arial"/>
          <w:b/>
          <w:sz w:val="44"/>
          <w:szCs w:val="44"/>
        </w:rPr>
      </w:pPr>
      <w:r>
        <w:rPr>
          <w:rFonts w:ascii="仿宋_GB2312" w:hAnsi="Arial" w:hint="eastAsia"/>
          <w:b/>
          <w:sz w:val="44"/>
          <w:szCs w:val="44"/>
        </w:rPr>
        <w:t>项目支出绩效评价报告</w:t>
      </w:r>
    </w:p>
    <w:p>
      <w:pPr>
        <w:spacing w:before="120" w:after="120" w:line="480" w:lineRule="auto"/>
        <w:ind w:firstLine="0" w:firstLineChars="0"/>
        <w:jc w:val="center"/>
        <w:rPr>
          <w:rFonts w:ascii="仿宋_GB2312" w:hAnsi="Arial" w:hint="eastAsia"/>
          <w:b/>
          <w:sz w:val="44"/>
          <w:szCs w:val="44"/>
        </w:rPr>
      </w:pPr>
      <w:r>
        <w:rPr>
          <w:rFonts w:ascii="仿宋_GB2312" w:hAnsi="Arial" w:hint="eastAsia"/>
          <w:b/>
          <w:sz w:val="44"/>
          <w:szCs w:val="44"/>
        </w:rPr>
        <w:t>（202</w:t>
      </w:r>
      <w:r>
        <w:rPr>
          <w:rFonts w:ascii="仿宋_GB2312" w:hAnsi="Arial"/>
          <w:b/>
          <w:sz w:val="44"/>
          <w:szCs w:val="44"/>
        </w:rPr>
        <w:t>2</w:t>
      </w:r>
      <w:r>
        <w:rPr>
          <w:rFonts w:ascii="仿宋_GB2312" w:hAnsi="Arial" w:hint="eastAsia"/>
          <w:b/>
          <w:sz w:val="44"/>
          <w:szCs w:val="44"/>
        </w:rPr>
        <w:t>年度）</w:t>
      </w: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hint="eastAsia"/>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w:t>
      </w:r>
      <w:r>
        <w:rPr>
          <w:rFonts w:hint="eastAsia"/>
        </w:rPr>
        <w:t>：</w:t>
      </w:r>
      <w:r>
        <w:rPr>
          <w:rFonts w:ascii="仿宋" w:eastAsia="仿宋" w:hAnsi="仿宋" w:cs="仿宋" w:hint="eastAsia"/>
          <w:sz w:val="32"/>
          <w:szCs w:val="32"/>
        </w:rPr>
        <w:t>1</w:t>
      </w:r>
      <w:r>
        <w:rPr>
          <w:rFonts w:ascii="仿宋_GB2312" w:hAnsi="Times New Roman" w:cs="Times New Roman" w:hint="eastAsia"/>
          <w:kern w:val="0"/>
          <w:sz w:val="32"/>
          <w:szCs w:val="32"/>
          <w:lang w:bidi="en-US"/>
        </w:rPr>
        <w:t>995年以前退休（退职）人员生</w:t>
      </w:r>
      <w:r>
        <w:rPr>
          <w:rFonts w:ascii="仿宋" w:eastAsia="仿宋" w:hAnsi="仿宋" w:cs="仿宋" w:hint="eastAsia"/>
          <w:sz w:val="32"/>
          <w:szCs w:val="32"/>
        </w:rPr>
        <w:t>活补助</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实施单位（公章）：乌苏市社会保险中心</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主管部门（公章）：乌苏市人力资源和社会保障局</w:t>
      </w:r>
    </w:p>
    <w:p>
      <w:pPr>
        <w:spacing w:line="480" w:lineRule="auto"/>
        <w:ind w:firstLine="1411" w:firstLineChars="441"/>
        <w:jc w:val="left"/>
        <w:rPr>
          <w:rFonts w:ascii="仿宋_GB2312" w:hAnsi="Times New Roman" w:cs="Times New Roman" w:hint="eastAsia"/>
          <w:kern w:val="0"/>
          <w:sz w:val="32"/>
          <w:szCs w:val="32"/>
          <w:lang w:bidi="en-US"/>
        </w:rPr>
      </w:pPr>
      <w:r>
        <w:rPr>
          <w:rFonts w:ascii="仿宋_GB2312" w:hAnsi="Times New Roman" w:cs="Times New Roman" w:hint="eastAsia"/>
          <w:kern w:val="0"/>
          <w:sz w:val="32"/>
          <w:szCs w:val="32"/>
          <w:lang w:bidi="en-US"/>
        </w:rPr>
        <w:t>项目负责人（签章）： 白慧</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填报时间：202</w:t>
      </w:r>
      <w:r>
        <w:rPr>
          <w:rFonts w:ascii="仿宋_GB2312" w:hAnsi="Times New Roman" w:cs="Times New Roman"/>
          <w:kern w:val="0"/>
          <w:sz w:val="32"/>
          <w:szCs w:val="32"/>
          <w:lang w:bidi="en-US"/>
        </w:rPr>
        <w:t>3</w:t>
      </w:r>
      <w:r>
        <w:rPr>
          <w:rFonts w:ascii="仿宋_GB2312" w:hAnsi="Times New Roman" w:cs="Times New Roman" w:hint="eastAsia"/>
          <w:kern w:val="0"/>
          <w:sz w:val="32"/>
          <w:szCs w:val="32"/>
          <w:lang w:bidi="en-US"/>
        </w:rPr>
        <w:t>年</w:t>
      </w:r>
      <w:r>
        <w:rPr>
          <w:rFonts w:ascii="仿宋_GB2312" w:hAnsi="Times New Roman" w:cs="Times New Roman"/>
          <w:kern w:val="0"/>
          <w:sz w:val="32"/>
          <w:szCs w:val="32"/>
          <w:lang w:bidi="en-US"/>
        </w:rPr>
        <w:t>2</w:t>
      </w:r>
      <w:r>
        <w:rPr>
          <w:rFonts w:ascii="仿宋_GB2312" w:hAnsi="Times New Roman" w:cs="Times New Roman" w:hint="eastAsia"/>
          <w:kern w:val="0"/>
          <w:sz w:val="32"/>
          <w:szCs w:val="32"/>
          <w:lang w:bidi="en-US"/>
        </w:rPr>
        <w:t>月</w:t>
      </w:r>
    </w:p>
    <w:p>
      <w:pPr>
        <w:ind w:firstLine="640"/>
        <w:rPr>
          <w:rFonts w:ascii="仿宋_GB2312" w:hAnsi="Times New Roman" w:cs="Times New Roman"/>
          <w:kern w:val="0"/>
          <w:sz w:val="32"/>
          <w:szCs w:val="32"/>
          <w:lang w:bidi="en-US"/>
        </w:rPr>
      </w:pPr>
    </w:p>
    <w:p>
      <w:pPr>
        <w:ind w:firstLine="640"/>
        <w:rPr>
          <w:rFonts w:ascii="仿宋_GB2312" w:hAnsi="Times New Roman" w:cs="Times New Roman"/>
          <w:sz w:val="32"/>
          <w:szCs w:val="32"/>
          <w:lang w:bidi="en-US"/>
        </w:rPr>
        <w:sectPr>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num="1" w:space="720"/>
          <w:docGrid w:type="lines" w:linePitch="312" w:charSpace="0"/>
        </w:sectPr>
      </w:pPr>
    </w:p>
    <w:p>
      <w:pPr>
        <w:tabs>
          <w:tab w:val="left" w:pos="1224"/>
        </w:tabs>
        <w:ind w:firstLine="0" w:firstLineChars="0"/>
        <w:jc w:val="center"/>
        <w:rPr>
          <w:rStyle w:val="CommentReference"/>
        </w:rPr>
      </w:pPr>
      <w:r>
        <w:rPr>
          <w:rFonts w:hint="eastAsia"/>
          <w:b/>
          <w:bCs/>
        </w:rPr>
        <w:t xml:space="preserve">目 </w:t>
      </w:r>
      <w:r>
        <w:rPr>
          <w:b/>
          <w:bCs/>
        </w:rPr>
        <w:t xml:space="preserve"> </w:t>
      </w:r>
      <w:r>
        <w:rPr>
          <w:rFonts w:hint="eastAsia"/>
          <w:b/>
          <w:bCs/>
        </w:rPr>
        <w:t>录</w:t>
      </w:r>
    </w:p>
    <w:p>
      <w:pPr>
        <w:ind w:firstLine="0" w:firstLineChars="0"/>
        <w:jc w:val="center"/>
      </w:pPr>
      <w:r>
        <w:rPr>
          <w:rFonts w:ascii="宋体" w:eastAsia="宋体" w:hAnsi="宋体"/>
          <w:sz w:val="21"/>
        </w:rPr>
        <w:t>目录</w:t>
      </w:r>
    </w:p>
    <w:p>
      <w:pPr>
        <w:pStyle w:val="WPSOffice1"/>
        <w:tabs>
          <w:tab w:val="right" w:leader="dot" w:pos="8306"/>
        </w:tabs>
        <w:spacing w:line="560" w:lineRule="exact"/>
        <w:rPr>
          <w:rFonts w:ascii="仿宋" w:eastAsia="仿宋" w:hAnsi="仿宋" w:cs="仿宋" w:hint="eastAsia"/>
          <w:b/>
          <w:sz w:val="32"/>
          <w:szCs w:val="32"/>
        </w:rPr>
      </w:pPr>
      <w:r>
        <w:rPr>
          <w:rFonts w:ascii="仿宋" w:eastAsia="仿宋" w:hAnsi="仿宋" w:cs="仿宋" w:hint="eastAsia"/>
          <w:sz w:val="36"/>
          <w:szCs w:val="36"/>
        </w:rPr>
        <w:fldChar w:fldCharType="begin"/>
      </w:r>
      <w:r>
        <w:rPr>
          <w:rStyle w:val="CommentReference"/>
          <w:rFonts w:ascii="仿宋" w:eastAsia="仿宋" w:hAnsi="仿宋" w:cs="仿宋" w:hint="eastAsia"/>
          <w:sz w:val="36"/>
          <w:szCs w:val="36"/>
        </w:rPr>
        <w:instrText xml:space="preserve">TOC \o "1-2" \h \u </w:instrText>
      </w:r>
      <w:r>
        <w:rPr>
          <w:rFonts w:ascii="仿宋" w:eastAsia="仿宋" w:hAnsi="仿宋" w:cs="仿宋" w:hint="eastAsia"/>
          <w:sz w:val="36"/>
          <w:szCs w:val="36"/>
        </w:rPr>
        <w:fldChar w:fldCharType="separate"/>
      </w:r>
      <w:hyperlink w:anchor="_Toc13154" w:history="1">
        <w:r>
          <w:rPr>
            <w:rFonts w:ascii="仿宋" w:eastAsia="仿宋" w:hAnsi="仿宋" w:cs="仿宋" w:hint="eastAsia"/>
            <w:b/>
            <w:bCs/>
            <w:sz w:val="32"/>
            <w:szCs w:val="52"/>
            <w:lang w:bidi="en-US"/>
          </w:rPr>
          <w:t>一、基本情况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_Toc13154 </w:instrText>
        </w:r>
        <w:r>
          <w:rPr>
            <w:rFonts w:ascii="仿宋" w:eastAsia="仿宋" w:hAnsi="仿宋" w:cs="仿宋" w:hint="eastAsia"/>
            <w:b/>
            <w:sz w:val="32"/>
            <w:szCs w:val="32"/>
          </w:rPr>
          <w:fldChar w:fldCharType="separate"/>
        </w:r>
        <w:r>
          <w:rPr>
            <w:rFonts w:ascii="仿宋" w:eastAsia="仿宋" w:hAnsi="仿宋" w:cs="仿宋" w:hint="eastAsia"/>
            <w:b/>
            <w:sz w:val="32"/>
            <w:szCs w:val="32"/>
          </w:rPr>
          <w:t>1</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44" w:history="1">
        <w:r>
          <w:rPr>
            <w:rFonts w:ascii="仿宋" w:eastAsia="仿宋" w:hAnsi="仿宋" w:cs="仿宋" w:hint="eastAsia"/>
            <w:bCs/>
            <w:sz w:val="32"/>
            <w:szCs w:val="48"/>
            <w:lang w:bidi="en-US"/>
          </w:rPr>
          <w:t>（一）项目概况：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_Toc2044 </w:instrText>
        </w:r>
        <w:r>
          <w:rPr>
            <w:rFonts w:ascii="仿宋" w:eastAsia="仿宋" w:hAnsi="仿宋" w:cs="仿宋" w:hint="eastAsia"/>
            <w:sz w:val="32"/>
            <w:szCs w:val="32"/>
          </w:rPr>
          <w:fldChar w:fldCharType="separate"/>
        </w:r>
        <w:r>
          <w:rPr>
            <w:rFonts w:ascii="仿宋" w:eastAsia="仿宋" w:hAnsi="仿宋" w:cs="仿宋" w:hint="eastAsia"/>
            <w:sz w:val="32"/>
            <w:szCs w:val="32"/>
          </w:rPr>
          <w:t>1</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4316" w:history="1">
        <w:r>
          <w:rPr>
            <w:rFonts w:ascii="仿宋" w:eastAsia="仿宋" w:hAnsi="仿宋" w:cs="仿宋" w:hint="eastAsia"/>
            <w:bCs/>
            <w:sz w:val="32"/>
            <w:szCs w:val="48"/>
            <w:lang w:bidi="en-US"/>
          </w:rPr>
          <w:t>（二）项目绩效目标：</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_Toc4316 </w:instrText>
        </w:r>
        <w:r>
          <w:rPr>
            <w:rFonts w:ascii="仿宋" w:eastAsia="仿宋" w:hAnsi="仿宋" w:cs="仿宋" w:hint="eastAsia"/>
            <w:sz w:val="32"/>
            <w:szCs w:val="32"/>
          </w:rPr>
          <w:fldChar w:fldCharType="separate"/>
        </w:r>
        <w:r>
          <w:rPr>
            <w:rFonts w:ascii="仿宋" w:eastAsia="仿宋" w:hAnsi="仿宋" w:cs="仿宋" w:hint="eastAsia"/>
            <w:sz w:val="32"/>
            <w:szCs w:val="32"/>
          </w:rPr>
          <w:t>2</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7851" w:history="1">
        <w:r>
          <w:rPr>
            <w:rFonts w:ascii="仿宋" w:eastAsia="仿宋" w:hAnsi="仿宋" w:cs="仿宋" w:hint="eastAsia"/>
            <w:b/>
            <w:bCs/>
            <w:sz w:val="32"/>
            <w:szCs w:val="52"/>
          </w:rPr>
          <w:t>二、绩效评价工作开展情况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_Toc7851 </w:instrText>
        </w:r>
        <w:r>
          <w:rPr>
            <w:rFonts w:ascii="仿宋" w:eastAsia="仿宋" w:hAnsi="仿宋" w:cs="仿宋" w:hint="eastAsia"/>
            <w:b/>
            <w:sz w:val="32"/>
            <w:szCs w:val="32"/>
          </w:rPr>
          <w:fldChar w:fldCharType="separate"/>
        </w:r>
        <w:r>
          <w:rPr>
            <w:rFonts w:ascii="仿宋" w:eastAsia="仿宋" w:hAnsi="仿宋" w:cs="仿宋" w:hint="eastAsia"/>
            <w:b/>
            <w:sz w:val="32"/>
            <w:szCs w:val="32"/>
          </w:rPr>
          <w:t>3</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568" w:history="1">
        <w:r>
          <w:rPr>
            <w:rFonts w:ascii="仿宋" w:eastAsia="仿宋" w:hAnsi="仿宋" w:cs="仿宋" w:hint="eastAsia"/>
            <w:bCs/>
            <w:sz w:val="32"/>
            <w:szCs w:val="48"/>
          </w:rPr>
          <w:t>（一）绩效评价目的、对象和范围</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_Toc20568 </w:instrText>
        </w:r>
        <w:r>
          <w:rPr>
            <w:rFonts w:ascii="仿宋" w:eastAsia="仿宋" w:hAnsi="仿宋" w:cs="仿宋" w:hint="eastAsia"/>
            <w:sz w:val="32"/>
            <w:szCs w:val="32"/>
          </w:rPr>
          <w:fldChar w:fldCharType="separate"/>
        </w:r>
        <w:r>
          <w:rPr>
            <w:rFonts w:ascii="仿宋" w:eastAsia="仿宋" w:hAnsi="仿宋" w:cs="仿宋" w:hint="eastAsia"/>
            <w:sz w:val="32"/>
            <w:szCs w:val="32"/>
          </w:rPr>
          <w:t>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646" w:history="1">
        <w:r>
          <w:rPr>
            <w:rFonts w:ascii="仿宋" w:eastAsia="仿宋" w:hAnsi="仿宋" w:cs="仿宋" w:hint="eastAsia"/>
            <w:bCs/>
            <w:sz w:val="32"/>
            <w:szCs w:val="32"/>
          </w:rPr>
          <w:t>（二）绩效评价原则、指标体系、方法及标准</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_Toc23646 </w:instrText>
        </w:r>
        <w:r>
          <w:rPr>
            <w:rFonts w:ascii="仿宋" w:eastAsia="仿宋" w:hAnsi="仿宋" w:cs="仿宋" w:hint="eastAsia"/>
            <w:sz w:val="32"/>
            <w:szCs w:val="32"/>
          </w:rPr>
          <w:fldChar w:fldCharType="separate"/>
        </w:r>
        <w:r>
          <w:rPr>
            <w:rFonts w:ascii="仿宋" w:eastAsia="仿宋" w:hAnsi="仿宋" w:cs="仿宋" w:hint="eastAsia"/>
            <w:sz w:val="32"/>
            <w:szCs w:val="32"/>
          </w:rPr>
          <w:t>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2695" w:history="1">
        <w:r>
          <w:rPr>
            <w:rFonts w:ascii="仿宋" w:eastAsia="仿宋" w:hAnsi="仿宋" w:cs="仿宋" w:hint="eastAsia"/>
            <w:bCs/>
            <w:sz w:val="32"/>
            <w:szCs w:val="32"/>
          </w:rPr>
          <w:t>（三）绩效评价工作过程</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_Toc12695 </w:instrText>
        </w:r>
        <w:r>
          <w:rPr>
            <w:rFonts w:ascii="仿宋" w:eastAsia="仿宋" w:hAnsi="仿宋" w:cs="仿宋" w:hint="eastAsia"/>
            <w:sz w:val="32"/>
            <w:szCs w:val="32"/>
          </w:rPr>
          <w:fldChar w:fldCharType="separate"/>
        </w:r>
        <w:r>
          <w:rPr>
            <w:rFonts w:ascii="仿宋" w:eastAsia="仿宋" w:hAnsi="仿宋" w:cs="仿宋" w:hint="eastAsia"/>
            <w:sz w:val="32"/>
            <w:szCs w:val="32"/>
          </w:rPr>
          <w:t>12</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8860" w:history="1">
        <w:r>
          <w:rPr>
            <w:rFonts w:ascii="仿宋" w:eastAsia="仿宋" w:hAnsi="仿宋" w:cs="仿宋" w:hint="eastAsia"/>
            <w:b/>
            <w:bCs/>
            <w:sz w:val="32"/>
            <w:szCs w:val="52"/>
          </w:rPr>
          <w:t>三、综合评价情况及评价结论</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_Toc28860 </w:instrText>
        </w:r>
        <w:r>
          <w:rPr>
            <w:rFonts w:ascii="仿宋" w:eastAsia="仿宋" w:hAnsi="仿宋" w:cs="仿宋" w:hint="eastAsia"/>
            <w:b/>
            <w:sz w:val="32"/>
            <w:szCs w:val="32"/>
          </w:rPr>
          <w:fldChar w:fldCharType="separate"/>
        </w:r>
        <w:r>
          <w:rPr>
            <w:rFonts w:ascii="仿宋" w:eastAsia="仿宋" w:hAnsi="仿宋" w:cs="仿宋" w:hint="eastAsia"/>
            <w:b/>
            <w:sz w:val="32"/>
            <w:szCs w:val="32"/>
          </w:rPr>
          <w:t>13</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4030" w:history="1">
        <w:r>
          <w:rPr>
            <w:rFonts w:ascii="仿宋" w:eastAsia="仿宋" w:hAnsi="仿宋" w:cs="仿宋" w:hint="eastAsia"/>
            <w:bCs/>
            <w:sz w:val="32"/>
            <w:szCs w:val="48"/>
          </w:rPr>
          <w:t>（一）评价结论</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_Toc14030 </w:instrText>
        </w:r>
        <w:r>
          <w:rPr>
            <w:rFonts w:ascii="仿宋" w:eastAsia="仿宋" w:hAnsi="仿宋" w:cs="仿宋" w:hint="eastAsia"/>
            <w:sz w:val="32"/>
            <w:szCs w:val="32"/>
          </w:rPr>
          <w:fldChar w:fldCharType="separate"/>
        </w:r>
        <w:r>
          <w:rPr>
            <w:rFonts w:ascii="仿宋" w:eastAsia="仿宋" w:hAnsi="仿宋" w:cs="仿宋" w:hint="eastAsia"/>
            <w:sz w:val="32"/>
            <w:szCs w:val="32"/>
          </w:rPr>
          <w:t>13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106" w:history="1">
        <w:r>
          <w:rPr>
            <w:rFonts w:ascii="仿宋" w:eastAsia="仿宋" w:hAnsi="仿宋" w:cs="仿宋" w:hint="eastAsia"/>
            <w:bCs/>
            <w:sz w:val="32"/>
            <w:szCs w:val="48"/>
          </w:rPr>
          <w:t>（二）主要绩效</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_Toc23106 </w:instrText>
        </w:r>
        <w:r>
          <w:rPr>
            <w:rFonts w:ascii="仿宋" w:eastAsia="仿宋" w:hAnsi="仿宋" w:cs="仿宋" w:hint="eastAsia"/>
            <w:sz w:val="32"/>
            <w:szCs w:val="32"/>
          </w:rPr>
          <w:fldChar w:fldCharType="separate"/>
        </w:r>
        <w:r>
          <w:rPr>
            <w:rFonts w:ascii="仿宋" w:eastAsia="仿宋" w:hAnsi="仿宋" w:cs="仿宋" w:hint="eastAsia"/>
            <w:sz w:val="32"/>
            <w:szCs w:val="32"/>
          </w:rPr>
          <w:t>14</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0059" w:history="1">
        <w:r>
          <w:rPr>
            <w:rFonts w:ascii="仿宋" w:eastAsia="仿宋" w:hAnsi="仿宋" w:cs="仿宋" w:hint="eastAsia"/>
            <w:b/>
            <w:bCs/>
            <w:sz w:val="32"/>
            <w:szCs w:val="52"/>
          </w:rPr>
          <w:t>四、绩效评价指标分析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_Toc20059 </w:instrText>
        </w:r>
        <w:r>
          <w:rPr>
            <w:rFonts w:ascii="仿宋" w:eastAsia="仿宋" w:hAnsi="仿宋" w:cs="仿宋" w:hint="eastAsia"/>
            <w:b/>
            <w:sz w:val="32"/>
            <w:szCs w:val="32"/>
          </w:rPr>
          <w:fldChar w:fldCharType="separate"/>
        </w:r>
        <w:r>
          <w:rPr>
            <w:rFonts w:ascii="仿宋" w:eastAsia="仿宋" w:hAnsi="仿宋" w:cs="仿宋" w:hint="eastAsia"/>
            <w:b/>
            <w:sz w:val="32"/>
            <w:szCs w:val="32"/>
          </w:rPr>
          <w:t>14</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2626" w:history="1">
        <w:r>
          <w:rPr>
            <w:rFonts w:ascii="仿宋" w:eastAsia="仿宋" w:hAnsi="仿宋" w:cs="仿宋" w:hint="eastAsia"/>
            <w:bCs/>
            <w:sz w:val="32"/>
            <w:szCs w:val="48"/>
          </w:rPr>
          <w:t>（一）项目决策情况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_Toc22626 </w:instrText>
        </w:r>
        <w:r>
          <w:rPr>
            <w:rFonts w:ascii="仿宋" w:eastAsia="仿宋" w:hAnsi="仿宋" w:cs="仿宋" w:hint="eastAsia"/>
            <w:sz w:val="32"/>
            <w:szCs w:val="32"/>
          </w:rPr>
          <w:fldChar w:fldCharType="separate"/>
        </w:r>
        <w:r>
          <w:rPr>
            <w:rFonts w:ascii="仿宋" w:eastAsia="仿宋" w:hAnsi="仿宋" w:cs="仿宋" w:hint="eastAsia"/>
            <w:sz w:val="32"/>
            <w:szCs w:val="32"/>
          </w:rPr>
          <w:t>14</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6968" w:history="1">
        <w:r>
          <w:rPr>
            <w:rFonts w:ascii="仿宋" w:eastAsia="仿宋" w:hAnsi="仿宋" w:cs="仿宋" w:hint="eastAsia"/>
            <w:bCs/>
            <w:sz w:val="32"/>
            <w:szCs w:val="48"/>
          </w:rPr>
          <w:t>（二）项目过程情况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_Toc16968 </w:instrText>
        </w:r>
        <w:r>
          <w:rPr>
            <w:rFonts w:ascii="仿宋" w:eastAsia="仿宋" w:hAnsi="仿宋" w:cs="仿宋" w:hint="eastAsia"/>
            <w:sz w:val="32"/>
            <w:szCs w:val="32"/>
          </w:rPr>
          <w:fldChar w:fldCharType="separate"/>
        </w:r>
        <w:r>
          <w:rPr>
            <w:rFonts w:ascii="仿宋" w:eastAsia="仿宋" w:hAnsi="仿宋" w:cs="仿宋" w:hint="eastAsia"/>
            <w:sz w:val="32"/>
            <w:szCs w:val="32"/>
          </w:rPr>
          <w:t>15</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704" w:history="1">
        <w:r>
          <w:rPr>
            <w:rFonts w:ascii="仿宋" w:eastAsia="仿宋" w:hAnsi="仿宋" w:cs="仿宋" w:hint="eastAsia"/>
            <w:bCs/>
            <w:sz w:val="32"/>
            <w:szCs w:val="48"/>
          </w:rPr>
          <w:t>（三）项目产出情况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_Toc31704 </w:instrText>
        </w:r>
        <w:r>
          <w:rPr>
            <w:rFonts w:ascii="仿宋" w:eastAsia="仿宋" w:hAnsi="仿宋" w:cs="仿宋" w:hint="eastAsia"/>
            <w:sz w:val="32"/>
            <w:szCs w:val="32"/>
          </w:rPr>
          <w:fldChar w:fldCharType="separate"/>
        </w:r>
        <w:r>
          <w:rPr>
            <w:rFonts w:ascii="仿宋" w:eastAsia="仿宋" w:hAnsi="仿宋" w:cs="仿宋" w:hint="eastAsia"/>
            <w:sz w:val="32"/>
            <w:szCs w:val="32"/>
          </w:rPr>
          <w:t>17</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697" w:history="1">
        <w:r>
          <w:rPr>
            <w:rFonts w:ascii="仿宋" w:eastAsia="仿宋" w:hAnsi="仿宋" w:cs="仿宋" w:hint="eastAsia"/>
            <w:bCs/>
            <w:sz w:val="32"/>
            <w:szCs w:val="48"/>
          </w:rPr>
          <w:t>（四）项目效益情况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_Toc31697 </w:instrText>
        </w:r>
        <w:r>
          <w:rPr>
            <w:rFonts w:ascii="仿宋" w:eastAsia="仿宋" w:hAnsi="仿宋" w:cs="仿宋" w:hint="eastAsia"/>
            <w:sz w:val="32"/>
            <w:szCs w:val="32"/>
          </w:rPr>
          <w:fldChar w:fldCharType="separate"/>
        </w:r>
        <w:r>
          <w:rPr>
            <w:rFonts w:ascii="仿宋" w:eastAsia="仿宋" w:hAnsi="仿宋" w:cs="仿宋" w:hint="eastAsia"/>
            <w:sz w:val="32"/>
            <w:szCs w:val="32"/>
          </w:rPr>
          <w:t>18</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32407" w:history="1">
        <w:r>
          <w:rPr>
            <w:rFonts w:ascii="仿宋" w:eastAsia="仿宋" w:hAnsi="仿宋" w:cs="仿宋" w:hint="eastAsia"/>
            <w:b/>
            <w:bCs/>
            <w:sz w:val="32"/>
            <w:szCs w:val="52"/>
          </w:rPr>
          <w:t>五、预算执行进度与绩效指标偏差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_Toc32407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19</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5156" w:history="1">
        <w:r>
          <w:rPr>
            <w:rFonts w:ascii="仿宋" w:eastAsia="仿宋" w:hAnsi="仿宋" w:cs="仿宋" w:hint="eastAsia"/>
            <w:b/>
            <w:bCs/>
            <w:sz w:val="32"/>
            <w:szCs w:val="52"/>
          </w:rPr>
          <w:t>六、主要经验及做法、存在的问题及原因分析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_Toc5156 </w:instrText>
        </w:r>
        <w:r>
          <w:rPr>
            <w:rFonts w:ascii="仿宋" w:eastAsia="仿宋" w:hAnsi="仿宋" w:cs="仿宋" w:hint="eastAsia"/>
            <w:b/>
            <w:sz w:val="32"/>
            <w:szCs w:val="32"/>
          </w:rPr>
          <w:fldChar w:fldCharType="separate"/>
        </w:r>
        <w:r>
          <w:rPr>
            <w:rFonts w:ascii="仿宋" w:eastAsia="仿宋" w:hAnsi="仿宋" w:cs="仿宋" w:hint="eastAsia"/>
            <w:b/>
            <w:sz w:val="32"/>
            <w:szCs w:val="32"/>
          </w:rPr>
          <w:t>19</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8450" w:history="1">
        <w:r>
          <w:rPr>
            <w:rFonts w:ascii="仿宋" w:eastAsia="仿宋" w:hAnsi="仿宋" w:cs="仿宋" w:hint="eastAsia"/>
            <w:bCs/>
            <w:sz w:val="32"/>
            <w:szCs w:val="48"/>
          </w:rPr>
          <w:t>（一）主要经验及做法</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_Toc18450 </w:instrText>
        </w:r>
        <w:r>
          <w:rPr>
            <w:rFonts w:ascii="仿宋" w:eastAsia="仿宋" w:hAnsi="仿宋" w:cs="仿宋" w:hint="eastAsia"/>
            <w:sz w:val="32"/>
            <w:szCs w:val="32"/>
          </w:rPr>
          <w:fldChar w:fldCharType="separate"/>
        </w:r>
        <w:r>
          <w:rPr>
            <w:rFonts w:ascii="仿宋" w:eastAsia="仿宋" w:hAnsi="仿宋" w:cs="仿宋" w:hint="eastAsia"/>
            <w:sz w:val="32"/>
            <w:szCs w:val="32"/>
          </w:rPr>
          <w:t>19</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9205" w:history="1">
        <w:r>
          <w:rPr>
            <w:rFonts w:ascii="仿宋" w:eastAsia="仿宋" w:hAnsi="仿宋" w:cs="仿宋" w:hint="eastAsia"/>
            <w:bCs/>
            <w:sz w:val="32"/>
            <w:szCs w:val="48"/>
          </w:rPr>
          <w:t>（二）存在的问题及原因分析</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_Toc9205 </w:instrText>
        </w:r>
        <w:r>
          <w:rPr>
            <w:rFonts w:ascii="仿宋" w:eastAsia="仿宋" w:hAnsi="仿宋" w:cs="仿宋" w:hint="eastAsia"/>
            <w:sz w:val="32"/>
            <w:szCs w:val="32"/>
          </w:rPr>
          <w:fldChar w:fldCharType="separate"/>
        </w:r>
        <w:r>
          <w:rPr>
            <w:rFonts w:ascii="仿宋" w:eastAsia="仿宋" w:hAnsi="仿宋" w:cs="仿宋" w:hint="eastAsia"/>
            <w:sz w:val="32"/>
            <w:szCs w:val="32"/>
          </w:rPr>
          <w:t>19</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6872" w:history="1">
        <w:r>
          <w:rPr>
            <w:rFonts w:ascii="仿宋" w:eastAsia="仿宋" w:hAnsi="仿宋" w:cs="仿宋" w:hint="eastAsia"/>
            <w:b/>
            <w:bCs/>
            <w:sz w:val="32"/>
            <w:szCs w:val="52"/>
          </w:rPr>
          <w:t>七、其他需要说明的问题</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_Toc26872 </w:instrText>
        </w:r>
        <w:r>
          <w:rPr>
            <w:rFonts w:ascii="仿宋" w:eastAsia="仿宋" w:hAnsi="仿宋" w:cs="仿宋" w:hint="eastAsia"/>
            <w:b/>
            <w:sz w:val="32"/>
            <w:szCs w:val="32"/>
          </w:rPr>
          <w:fldChar w:fldCharType="separate"/>
        </w:r>
        <w:r>
          <w:rPr>
            <w:rFonts w:ascii="仿宋" w:eastAsia="仿宋" w:hAnsi="仿宋" w:cs="仿宋" w:hint="eastAsia"/>
            <w:b/>
            <w:sz w:val="32"/>
            <w:szCs w:val="32"/>
          </w:rPr>
          <w:t>19</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4317" w:history="1">
        <w:r>
          <w:rPr>
            <w:rFonts w:ascii="仿宋" w:eastAsia="仿宋" w:hAnsi="仿宋" w:cs="仿宋" w:hint="eastAsia"/>
            <w:b/>
            <w:bCs/>
            <w:sz w:val="32"/>
            <w:szCs w:val="52"/>
          </w:rPr>
          <w:t>八、有关建议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_Toc4317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19</w:t>
        </w:r>
        <w:r>
          <w:rPr>
            <w:rFonts w:ascii="仿宋" w:eastAsia="仿宋" w:hAnsi="仿宋" w:cs="仿宋" w:hint="eastAsia"/>
            <w:b/>
            <w:sz w:val="32"/>
            <w:szCs w:val="32"/>
          </w:rPr>
          <w:fldChar w:fldCharType="end"/>
        </w:r>
      </w:hyperlink>
    </w:p>
    <w:p>
      <w:pPr>
        <w:tabs>
          <w:tab w:val="left" w:pos="1224"/>
        </w:tabs>
        <w:spacing w:line="560" w:lineRule="exact"/>
        <w:ind w:firstLine="0" w:firstLineChars="0"/>
        <w:jc w:val="center"/>
        <w:rPr>
          <w:rStyle w:val="CommentReference"/>
          <w:rFonts w:hint="eastAsia"/>
        </w:rPr>
      </w:pPr>
      <w:r>
        <w:rPr>
          <w:rFonts w:ascii="仿宋" w:eastAsia="仿宋" w:hAnsi="仿宋" w:cs="仿宋" w:hint="eastAsia"/>
          <w:b/>
          <w:sz w:val="48"/>
          <w:szCs w:val="40"/>
        </w:rPr>
        <w:fldChar w:fldCharType="end"/>
      </w:r>
    </w:p>
    <w:p>
      <w:pPr>
        <w:tabs>
          <w:tab w:val="left" w:pos="1224"/>
        </w:tabs>
        <w:ind w:firstLine="560"/>
        <w:sectPr>
          <w:headerReference w:type="default" r:id="rId12"/>
          <w:pgSz w:w="11906" w:h="16838"/>
          <w:pgMar w:top="1440" w:right="1800" w:bottom="1440" w:left="1800" w:header="851" w:footer="992" w:gutter="0"/>
          <w:cols w:num="1" w:space="720"/>
          <w:docGrid w:type="lines" w:linePitch="312" w:charSpace="0"/>
        </w:sectPr>
      </w:pPr>
    </w:p>
    <w:p>
      <w:pPr>
        <w:spacing w:line="360" w:lineRule="auto"/>
        <w:ind w:firstLine="0" w:firstLineChars="0"/>
        <w:outlineLvl w:val="0"/>
        <w:rPr>
          <w:rFonts w:ascii="仿宋_GB2312" w:hAnsi="Times New Roman" w:cs="Times New Roman"/>
          <w:b/>
          <w:bCs/>
          <w:kern w:val="0"/>
          <w:sz w:val="32"/>
          <w:szCs w:val="32"/>
          <w:lang w:bidi="en-US"/>
        </w:rPr>
      </w:pPr>
      <w:bookmarkStart w:id="0" w:name="_Toc67911601"/>
      <w:bookmarkStart w:id="1" w:name="_Toc13154"/>
      <w:r>
        <w:rPr>
          <w:rFonts w:ascii="仿宋_GB2312" w:hAnsi="Times New Roman" w:cs="Times New Roman" w:hint="eastAsia"/>
          <w:b/>
          <w:bCs/>
          <w:kern w:val="0"/>
          <w:sz w:val="32"/>
          <w:szCs w:val="32"/>
          <w:lang w:bidi="en-US"/>
        </w:rPr>
        <w:t>一、基本情况</w:t>
      </w:r>
      <w:bookmarkEnd w:id="0"/>
      <w:bookmarkEnd w:id="1"/>
    </w:p>
    <w:p>
      <w:pPr>
        <w:spacing w:line="360" w:lineRule="auto"/>
        <w:ind w:firstLine="562"/>
        <w:outlineLvl w:val="1"/>
        <w:rPr>
          <w:rFonts w:ascii="仿宋_GB2312" w:hAnsi="Times New Roman" w:cs="Times New Roman"/>
          <w:b/>
          <w:bCs/>
          <w:kern w:val="0"/>
          <w:szCs w:val="28"/>
          <w:lang w:bidi="en-US"/>
        </w:rPr>
      </w:pPr>
      <w:bookmarkStart w:id="2" w:name="_Toc67911602"/>
      <w:bookmarkStart w:id="3" w:name="_Toc2044"/>
      <w:r>
        <w:rPr>
          <w:rFonts w:ascii="仿宋_GB2312" w:hAnsi="Times New Roman" w:cs="Times New Roman" w:hint="eastAsia"/>
          <w:b/>
          <w:bCs/>
          <w:kern w:val="0"/>
          <w:szCs w:val="28"/>
          <w:lang w:bidi="en-US"/>
        </w:rPr>
        <w:t>（一）项目概况：</w:t>
      </w:r>
      <w:bookmarkEnd w:id="2"/>
      <w:bookmarkEnd w:id="3"/>
    </w:p>
    <w:p>
      <w:pPr>
        <w:spacing w:line="360" w:lineRule="auto"/>
        <w:ind w:firstLine="640"/>
        <w:rPr>
          <w:rFonts w:ascii="方正仿宋简体" w:eastAsia="方正仿宋简体" w:hAnsi="方正仿宋简体" w:cs="方正仿宋简体" w:hint="eastAsia"/>
          <w:kern w:val="0"/>
          <w:sz w:val="32"/>
          <w:szCs w:val="32"/>
        </w:rPr>
      </w:pPr>
      <w:r>
        <w:rPr>
          <w:rFonts w:ascii="方正仿宋简体" w:eastAsia="方正仿宋简体" w:hAnsi="方正仿宋简体" w:cs="方正仿宋简体" w:hint="eastAsia"/>
          <w:kern w:val="0"/>
          <w:sz w:val="32"/>
          <w:szCs w:val="32"/>
        </w:rPr>
        <w:t>1、项目背景</w:t>
      </w:r>
    </w:p>
    <w:p>
      <w:pPr>
        <w:pStyle w:val="ListParagraph"/>
        <w:ind w:firstLine="640"/>
        <w:rPr>
          <w:rFonts w:ascii="仿宋" w:eastAsia="仿宋" w:hAnsi="仿宋" w:cs="仿宋" w:hint="eastAsia"/>
          <w:sz w:val="32"/>
          <w:szCs w:val="32"/>
        </w:rPr>
      </w:pPr>
      <w:r>
        <w:rPr>
          <w:rFonts w:ascii="仿宋" w:eastAsia="仿宋" w:hAnsi="仿宋" w:cs="仿宋" w:hint="eastAsia"/>
          <w:sz w:val="32"/>
          <w:szCs w:val="32"/>
        </w:rPr>
        <w:t xml:space="preserve">根据自治区人民政府办公厅《关于对参加自治区城镇职工基本养老保险社会统筹的有关退休人员实施生活补贴的通知》（新政发【2010】168号）等文件精神，参加自治区养老统筹并于1995年12月31日前企业退休（退职）人员享受每人每月120元的生活补贴，所需资金有同级财政负担。                           </w:t>
      </w:r>
    </w:p>
    <w:p>
      <w:pPr>
        <w:pStyle w:val="ListParagraph"/>
        <w:ind w:firstLine="0" w:firstLineChars="0"/>
        <w:rPr>
          <w:rFonts w:ascii="仿宋" w:eastAsia="仿宋" w:hAnsi="仿宋" w:cs="仿宋" w:hint="eastAsia"/>
          <w:sz w:val="32"/>
          <w:szCs w:val="32"/>
        </w:rPr>
      </w:pPr>
      <w:r>
        <w:rPr>
          <w:rFonts w:ascii="仿宋" w:eastAsia="仿宋" w:hAnsi="仿宋" w:cs="仿宋" w:hint="eastAsia"/>
          <w:sz w:val="32"/>
          <w:szCs w:val="32"/>
        </w:rPr>
        <w:t>其中，自治区财政承担区属、中央下放、南疆三地州、国家及自治区贫困县1995年以前退休人员生活补助金。2022年根据（塔地财企【2021】25号文件）要求，经财政部门审核，本级财政为乌苏市社会保险中心落实1995年以前退休（退职）人员生活补助67.28万元；用于1995年12月31日前企业退休（退职）人员享受每人每月120元的生活补贴。</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退休职工生活补贴项目按月序时进行发放；项目发放对象在2022年项目设立前已确认，无需新增，且随人员死亡而逐年递减</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本项目2022年本级财政当年预算67.28万元，当年财政核拨67.28万元，实际支出67.28万元.</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项目为常年发展性项目。</w:t>
      </w:r>
    </w:p>
    <w:p>
      <w:pPr>
        <w:pStyle w:val="BodyTextFirstIndent2"/>
        <w:ind w:left="560" w:firstLine="560"/>
        <w:rPr>
          <w:rFonts w:hint="eastAsia"/>
        </w:rPr>
      </w:pPr>
    </w:p>
    <w:p>
      <w:pPr>
        <w:pStyle w:val="ListParagraph"/>
        <w:ind w:firstLine="320" w:firstLineChars="100"/>
        <w:rPr>
          <w:rFonts w:ascii="方正仿宋简体" w:eastAsia="方正仿宋简体" w:hAnsi="方正仿宋简体" w:cs="方正仿宋简体" w:hint="eastAsia"/>
          <w:kern w:val="0"/>
          <w:sz w:val="32"/>
          <w:szCs w:val="32"/>
        </w:rPr>
      </w:pPr>
      <w:r>
        <w:rPr>
          <w:rFonts w:ascii="方正仿宋简体" w:eastAsia="方正仿宋简体" w:hAnsi="方正仿宋简体" w:cs="方正仿宋简体" w:hint="eastAsia"/>
          <w:kern w:val="0"/>
          <w:sz w:val="32"/>
          <w:szCs w:val="32"/>
        </w:rPr>
        <w:t>2、主要内容及实施情况</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2022年根据（塔地财企【2021】25号文件）要求，经财政部门审核，本级财政为乌苏市社会保险中心落实1995年以前退休（退职）人员生活补助67.28万元。</w:t>
      </w:r>
    </w:p>
    <w:p>
      <w:pPr>
        <w:spacing w:line="600" w:lineRule="exact"/>
        <w:ind w:firstLine="640"/>
        <w:rPr>
          <w:rFonts w:ascii="仿宋" w:eastAsia="仿宋" w:hAnsi="仿宋" w:cs="仿宋" w:hint="eastAsia"/>
          <w:sz w:val="32"/>
          <w:szCs w:val="32"/>
        </w:rPr>
      </w:pPr>
      <w:r>
        <w:rPr>
          <w:sz w:val="32"/>
          <w:szCs w:val="32"/>
        </w:rPr>
        <w:t>项目实施情况：</w:t>
      </w:r>
      <w:r>
        <w:rPr>
          <w:rFonts w:ascii="仿宋" w:eastAsia="仿宋" w:hAnsi="仿宋" w:cs="仿宋" w:hint="eastAsia"/>
          <w:sz w:val="32"/>
          <w:szCs w:val="32"/>
        </w:rPr>
        <w:t>项目目前已经完成实际设立的目标，并且项目在实施过程中严格按照目标设立的各阶段任务进行开展工作，在前期立项过程中严格把质量关，建立安全防护机制，保证项目实施各阶段安全顺利进行。</w:t>
      </w:r>
    </w:p>
    <w:p>
      <w:pPr>
        <w:spacing w:line="600" w:lineRule="exact"/>
        <w:ind w:firstLine="640"/>
        <w:rPr>
          <w:sz w:val="32"/>
          <w:szCs w:val="32"/>
        </w:rPr>
      </w:pPr>
      <w:r>
        <w:rPr>
          <w:rFonts w:ascii="仿宋" w:eastAsia="仿宋" w:hAnsi="仿宋" w:cs="仿宋" w:hint="eastAsia"/>
          <w:sz w:val="32"/>
          <w:szCs w:val="32"/>
        </w:rPr>
        <w:t>本项目总投资67.28万元，其中：财政本级资金67.28万元。项目实际支出67.28万元，支出率为100%。</w:t>
      </w:r>
    </w:p>
    <w:p>
      <w:pPr>
        <w:spacing w:line="560" w:lineRule="exact"/>
        <w:ind w:firstLine="640"/>
        <w:rPr>
          <w:rFonts w:ascii="方正仿宋简体" w:eastAsia="方正仿宋简体" w:hAnsi="方正仿宋简体" w:cs="方正仿宋简体" w:hint="eastAsia"/>
          <w:sz w:val="32"/>
          <w:szCs w:val="32"/>
        </w:rPr>
      </w:pPr>
      <w:r>
        <w:rPr>
          <w:rFonts w:ascii="方正仿宋简体" w:eastAsia="方正仿宋简体" w:hAnsi="方正仿宋简体" w:cs="方正仿宋简体" w:hint="eastAsia"/>
          <w:sz w:val="32"/>
          <w:szCs w:val="32"/>
        </w:rPr>
        <w:t>3、资金投入和使用情况</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（1）资金安排</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项目总投资67.28万元，按照《专项资金管理办法》及单位财务制度等相关规定，资金支出符合1995年前退休（退职）人员生活补贴专项资金费用范围，做到了专款专用。在项目资金拨付和使用过程中，为确保项目资金的安全性，提高项目资金使用效率，严格遵循专项资金的拨付程序，认真审核项目实施各阶段的相关材料和手续，根据项目实施进展情况拨付资金。</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（2）预算资金来源及使用情况</w:t>
      </w:r>
      <w:bookmarkStart w:id="4" w:name="page10"/>
      <w:bookmarkEnd w:id="4"/>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项目预算资金来源于1995年前退休（退职）人员生活补贴，项目资金到位67.28万元，用于支付项目实施进程中的各项费用。</w:t>
      </w:r>
    </w:p>
    <w:p>
      <w:pPr>
        <w:ind w:firstLine="0" w:firstLineChars="0"/>
        <w:rPr>
          <w:rFonts w:ascii="仿宋_GB2312" w:hAnsi="Times New Roman" w:cs="Times New Roman"/>
          <w:b/>
          <w:bCs/>
          <w:kern w:val="0"/>
          <w:szCs w:val="28"/>
          <w:lang w:bidi="en-US"/>
        </w:rPr>
      </w:pPr>
      <w:bookmarkStart w:id="5" w:name="_Toc4316"/>
      <w:bookmarkStart w:id="6" w:name="_Toc67911603"/>
      <w:r>
        <w:rPr>
          <w:rFonts w:ascii="仿宋_GB2312" w:hAnsi="Times New Roman" w:cs="Times New Roman" w:hint="eastAsia"/>
          <w:b/>
          <w:bCs/>
          <w:kern w:val="0"/>
          <w:szCs w:val="28"/>
          <w:lang w:bidi="en-US"/>
        </w:rPr>
        <w:t>（二）项目绩效目标：</w:t>
      </w:r>
      <w:bookmarkEnd w:id="5"/>
      <w:bookmarkEnd w:id="6"/>
    </w:p>
    <w:p>
      <w:pPr>
        <w:spacing w:line="360" w:lineRule="auto"/>
        <w:ind w:firstLine="0" w:firstLineChars="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1、总体目标：</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根据（塔地财企【2021】25号）要求，落实1995年以前退休（退职）人员生活补助，2022年延续拨付1995年以前退休（退职）生活补助资金。 2.该专项资金符合国家立法规定及社会保障体系的各项政策， 社保系统责任明确，绩效目标合理、明确。 3. 2022年1995年以前退休（退职）人员生活补助资金年初预算批复67.28万元。</w:t>
      </w:r>
    </w:p>
    <w:p>
      <w:pPr>
        <w:spacing w:line="360" w:lineRule="auto"/>
        <w:ind w:firstLine="0" w:firstLineChars="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2、阶段性目标：</w:t>
      </w:r>
      <w:r>
        <w:rPr>
          <w:rFonts w:ascii="方正仿宋简体" w:eastAsia="方正仿宋简体" w:hAnsi="方正仿宋简体" w:cs="方正仿宋简体"/>
          <w:sz w:val="32"/>
          <w:szCs w:val="32"/>
        </w:rPr>
        <w:t xml:space="preserve"> </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 xml:space="preserve">2022年的1995年以前退休（退职）人员生活补助预算资金67.28万元。2022年实际拨付到位 67.28 万元，预算执行率 100%。 </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（1）前期准备：通过制定项目实施方案，经项目负责人审核通过后，有序开展后续工作。</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（2）组织实施：资金一到位，立即根据项目要求实施项目。项目责任人按照项目实施方案要求逐一进行项目部署安排，提高项目质量及效率性。</w:t>
      </w:r>
    </w:p>
    <w:p>
      <w:pPr>
        <w:spacing w:line="600" w:lineRule="exact"/>
        <w:ind w:firstLine="640"/>
        <w:rPr>
          <w:rFonts w:ascii="仿宋" w:eastAsia="仿宋" w:hAnsi="仿宋" w:cs="仿宋" w:hint="eastAsia"/>
          <w:sz w:val="32"/>
          <w:szCs w:val="32"/>
        </w:rPr>
      </w:pPr>
    </w:p>
    <w:p>
      <w:pPr>
        <w:spacing w:line="360" w:lineRule="auto"/>
        <w:ind w:firstLine="0" w:firstLineChars="0"/>
        <w:rPr>
          <w:rFonts w:ascii="仿宋_GB2312" w:hAnsi="仿宋" w:hint="eastAsia"/>
          <w:szCs w:val="28"/>
        </w:rPr>
      </w:pPr>
    </w:p>
    <w:p>
      <w:pPr>
        <w:spacing w:line="360" w:lineRule="auto"/>
        <w:ind w:firstLine="0" w:firstLineChars="0"/>
        <w:outlineLvl w:val="0"/>
        <w:rPr>
          <w:rFonts w:hint="eastAsia"/>
          <w:b/>
          <w:bCs/>
          <w:sz w:val="32"/>
          <w:szCs w:val="32"/>
        </w:rPr>
      </w:pPr>
      <w:bookmarkStart w:id="7" w:name="_Toc67911604"/>
      <w:bookmarkStart w:id="8" w:name="_Toc7851"/>
    </w:p>
    <w:p>
      <w:pPr>
        <w:spacing w:line="360" w:lineRule="auto"/>
        <w:ind w:firstLine="0" w:firstLineChars="0"/>
        <w:outlineLvl w:val="0"/>
        <w:rPr>
          <w:b/>
          <w:bCs/>
          <w:sz w:val="32"/>
          <w:szCs w:val="32"/>
        </w:rPr>
      </w:pPr>
      <w:r>
        <w:rPr>
          <w:rFonts w:hint="eastAsia"/>
          <w:b/>
          <w:bCs/>
          <w:sz w:val="32"/>
          <w:szCs w:val="32"/>
        </w:rPr>
        <w:t>二、绩效评价工作开展情况</w:t>
      </w:r>
      <w:bookmarkEnd w:id="7"/>
      <w:bookmarkEnd w:id="8"/>
    </w:p>
    <w:p>
      <w:pPr>
        <w:spacing w:line="360" w:lineRule="auto"/>
        <w:ind w:firstLine="562"/>
        <w:outlineLvl w:val="1"/>
        <w:rPr>
          <w:b/>
          <w:bCs/>
          <w:szCs w:val="28"/>
        </w:rPr>
      </w:pPr>
      <w:bookmarkStart w:id="9" w:name="_Toc20568"/>
      <w:bookmarkStart w:id="10" w:name="_Toc67911605"/>
      <w:r>
        <w:rPr>
          <w:rFonts w:hint="eastAsia"/>
          <w:b/>
          <w:bCs/>
          <w:szCs w:val="28"/>
        </w:rPr>
        <w:t>（一）绩效评价目的、对象和范围</w:t>
      </w:r>
      <w:bookmarkEnd w:id="9"/>
      <w:bookmarkEnd w:id="10"/>
    </w:p>
    <w:p>
      <w:pPr>
        <w:spacing w:line="360" w:lineRule="auto"/>
        <w:ind w:firstLine="562"/>
        <w:rPr>
          <w:rFonts w:ascii="仿宋_GB2312"/>
          <w:b/>
          <w:bCs/>
        </w:rPr>
      </w:pPr>
      <w:r>
        <w:rPr>
          <w:rFonts w:ascii="仿宋_GB2312" w:hint="eastAsia"/>
          <w:b/>
          <w:bCs/>
        </w:rPr>
        <w:t>1.评价目的</w:t>
      </w:r>
    </w:p>
    <w:p>
      <w:pPr>
        <w:pStyle w:val="Title"/>
        <w:widowControl w:val="0"/>
        <w:spacing w:before="0" w:after="0" w:line="600" w:lineRule="exact"/>
        <w:ind w:firstLine="640"/>
        <w:jc w:val="both"/>
        <w:outlineLvl w:val="9"/>
        <w:rPr>
          <w:rFonts w:ascii="仿宋" w:eastAsia="仿宋" w:hAnsi="仿宋" w:cs="仿宋" w:hint="eastAsia"/>
          <w:b w:val="0"/>
          <w:bCs w:val="0"/>
          <w:kern w:val="2"/>
        </w:rPr>
      </w:pPr>
      <w:r>
        <w:rPr>
          <w:rFonts w:ascii="仿宋" w:eastAsia="仿宋" w:hAnsi="仿宋" w:cs="仿宋" w:hint="eastAsia"/>
          <w:b w:val="0"/>
          <w:bCs w:val="0"/>
          <w:kern w:val="2"/>
        </w:rPr>
        <w:t>1、绩效评价的目的</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项目在实施前向项目负责人提供财政支出绩效方面的资金管理信息，促进项目支出严格按照资金管理规定进行。</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（2）项目绩效管理财政支出运行提供及时、有效的信息。</w:t>
      </w:r>
    </w:p>
    <w:p>
      <w:pPr>
        <w:spacing w:line="600" w:lineRule="exact"/>
        <w:ind w:firstLine="640"/>
        <w:rPr>
          <w:rFonts w:ascii="仿宋" w:eastAsia="仿宋" w:hAnsi="仿宋" w:cs="仿宋" w:hint="eastAsia"/>
          <w:sz w:val="32"/>
          <w:szCs w:val="32"/>
        </w:rPr>
      </w:pPr>
      <w:r>
        <w:rPr>
          <w:rFonts w:ascii="仿宋" w:eastAsia="仿宋" w:hAnsi="仿宋" w:cs="仿宋" w:hint="eastAsia"/>
          <w:sz w:val="32"/>
          <w:szCs w:val="32"/>
        </w:rPr>
        <w:t>综合来看，通过开展有效的财政支出绩效评价管理，达到改进预算管理、控制节约成本，提高预算资金使用效益的目的。</w:t>
      </w:r>
    </w:p>
    <w:p>
      <w:pPr>
        <w:spacing w:line="360" w:lineRule="auto"/>
        <w:ind w:firstLine="562"/>
        <w:rPr>
          <w:rFonts w:ascii="仿宋_GB2312"/>
          <w:b/>
          <w:bCs/>
        </w:rPr>
      </w:pPr>
      <w:r>
        <w:rPr>
          <w:rFonts w:ascii="仿宋_GB2312" w:hint="eastAsia"/>
          <w:b/>
          <w:bCs/>
        </w:rPr>
        <w:t>2、绩效评价对象</w:t>
      </w:r>
    </w:p>
    <w:p>
      <w:pPr>
        <w:pStyle w:val="Title"/>
        <w:widowControl w:val="0"/>
        <w:spacing w:before="0" w:after="0" w:line="600" w:lineRule="exact"/>
        <w:ind w:firstLine="640"/>
        <w:jc w:val="both"/>
        <w:outlineLvl w:val="9"/>
        <w:rPr>
          <w:rFonts w:ascii="仿宋" w:eastAsia="仿宋" w:hAnsi="仿宋" w:cs="仿宋" w:hint="eastAsia"/>
          <w:b w:val="0"/>
          <w:bCs w:val="0"/>
          <w:kern w:val="2"/>
        </w:rPr>
      </w:pPr>
      <w:r>
        <w:rPr>
          <w:rFonts w:ascii="仿宋" w:eastAsia="仿宋" w:hAnsi="仿宋" w:cs="仿宋" w:hint="eastAsia"/>
          <w:b w:val="0"/>
          <w:bCs w:val="0"/>
          <w:kern w:val="2"/>
        </w:rPr>
        <w:t>1995年以前退休（退职）人员生活补助所包含的全部项目建设内容。</w:t>
      </w:r>
    </w:p>
    <w:p>
      <w:pPr>
        <w:spacing w:line="560" w:lineRule="exact"/>
        <w:ind w:firstLine="560"/>
        <w:rPr>
          <w:rFonts w:ascii="仿宋_GB2312"/>
        </w:rPr>
      </w:pPr>
    </w:p>
    <w:p>
      <w:pPr>
        <w:spacing w:line="560" w:lineRule="exact"/>
        <w:ind w:firstLine="562"/>
        <w:rPr>
          <w:rFonts w:ascii="仿宋_GB2312"/>
          <w:b/>
          <w:bCs/>
        </w:rPr>
      </w:pPr>
      <w:r>
        <w:rPr>
          <w:rFonts w:ascii="仿宋_GB2312" w:hint="eastAsia"/>
          <w:b/>
          <w:bCs/>
        </w:rPr>
        <w:t>3、绩效评价范围</w:t>
      </w:r>
    </w:p>
    <w:p>
      <w:pPr>
        <w:pStyle w:val="Title"/>
        <w:widowControl w:val="0"/>
        <w:spacing w:before="0" w:after="0" w:line="600" w:lineRule="exact"/>
        <w:ind w:firstLine="640"/>
        <w:jc w:val="both"/>
        <w:outlineLvl w:val="9"/>
        <w:rPr>
          <w:rFonts w:ascii="Times New Roman" w:eastAsia="仿宋_GB2312" w:hAnsi="Times New Roman"/>
          <w:b w:val="0"/>
          <w:bCs w:val="0"/>
        </w:rPr>
      </w:pPr>
      <w:bookmarkStart w:id="11" w:name="_Toc23646"/>
      <w:bookmarkStart w:id="12" w:name="_Toc67911606"/>
      <w:bookmarkStart w:id="13" w:name="_Hlk67586765"/>
      <w:r>
        <w:rPr>
          <w:rFonts w:ascii="仿宋" w:eastAsia="仿宋" w:hAnsi="仿宋" w:cs="仿宋" w:hint="eastAsia"/>
          <w:b w:val="0"/>
          <w:bCs w:val="0"/>
          <w:kern w:val="2"/>
        </w:rPr>
        <w:t>1995年以前退休（退职）人员生活补助的决策、过程、产出、效益等</w:t>
      </w:r>
      <w:r>
        <w:rPr>
          <w:rFonts w:ascii="Calibri" w:eastAsia="仿宋_GB2312" w:hAnsi="Calibri" w:hint="eastAsia"/>
          <w:b w:val="0"/>
          <w:bCs w:val="0"/>
          <w:kern w:val="2"/>
        </w:rPr>
        <w:t>。</w:t>
      </w:r>
    </w:p>
    <w:p>
      <w:pPr>
        <w:spacing w:line="360" w:lineRule="auto"/>
        <w:ind w:firstLine="562"/>
        <w:outlineLvl w:val="1"/>
        <w:rPr>
          <w:rFonts w:ascii="仿宋_GB2312"/>
          <w:b/>
          <w:bCs/>
        </w:rPr>
      </w:pPr>
      <w:r>
        <w:rPr>
          <w:rFonts w:ascii="仿宋_GB2312" w:hint="eastAsia"/>
          <w:b/>
          <w:bCs/>
        </w:rPr>
        <w:t>（二）绩效评价原则、指标体系、方法及标准</w:t>
      </w:r>
      <w:bookmarkEnd w:id="11"/>
      <w:bookmarkEnd w:id="12"/>
    </w:p>
    <w:bookmarkEnd w:id="13"/>
    <w:p>
      <w:pPr>
        <w:spacing w:line="360" w:lineRule="auto"/>
        <w:ind w:firstLine="562"/>
        <w:rPr>
          <w:rFonts w:ascii="仿宋_GB2312"/>
          <w:b/>
          <w:bCs/>
        </w:rPr>
      </w:pPr>
      <w:r>
        <w:rPr>
          <w:rFonts w:ascii="仿宋_GB2312" w:hint="eastAsia"/>
          <w:b/>
          <w:bCs/>
        </w:rPr>
        <w:t>1</w:t>
      </w:r>
      <w:r>
        <w:rPr>
          <w:rFonts w:ascii="仿宋_GB2312"/>
          <w:b/>
          <w:bCs/>
        </w:rPr>
        <w:t>.</w:t>
      </w:r>
      <w:r>
        <w:rPr>
          <w:rFonts w:ascii="仿宋_GB2312" w:hint="eastAsia"/>
          <w:b/>
          <w:bCs/>
        </w:rPr>
        <w:t>评价原则</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（1）科学规范原则：绩效评价应当严格执行规定的程序，按照科学可行的要求，采用定量与定性分析相结合的方法。</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（2）公正公开原则：绩效评价应当符合真实、客观、公正的要求，依法公开并接受监督。</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（3）分级分类原则：根据评价对象特点分类组织实施。</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（4）绩效相关原则：绩效评价应当针对具体支出及其产出绩效进行，评价结果应当清晰反映支出和产出绩效之间的紧密对应关系。</w:t>
      </w:r>
    </w:p>
    <w:p>
      <w:pPr>
        <w:spacing w:line="360" w:lineRule="auto"/>
        <w:ind w:firstLine="562"/>
        <w:rPr>
          <w:rFonts w:ascii="仿宋_GB2312"/>
          <w:b/>
          <w:bCs/>
        </w:rPr>
      </w:pPr>
      <w:r>
        <w:rPr>
          <w:rFonts w:ascii="仿宋_GB2312"/>
          <w:b/>
          <w:bCs/>
        </w:rPr>
        <w:t>2.</w:t>
      </w:r>
      <w:r>
        <w:rPr>
          <w:rFonts w:ascii="仿宋_GB2312" w:hint="eastAsia"/>
          <w:b/>
          <w:bCs/>
        </w:rPr>
        <w:t>评价指标体系</w:t>
      </w:r>
    </w:p>
    <w:p>
      <w:pPr>
        <w:spacing w:line="360" w:lineRule="auto"/>
        <w:ind w:firstLine="640"/>
        <w:rPr>
          <w:rFonts w:hint="eastAsia"/>
          <w:sz w:val="32"/>
          <w:szCs w:val="32"/>
        </w:rPr>
      </w:pPr>
      <w:r>
        <w:rPr>
          <w:rFonts w:ascii="仿宋" w:eastAsia="仿宋" w:hAnsi="仿宋" w:cs="仿宋" w:hint="eastAsia"/>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1995年以前退休（退职）人员生活补助项目支出绩效评价指标体系(详见附件3)</w:t>
      </w:r>
      <w:r>
        <w:rPr>
          <w:rFonts w:hint="eastAsia"/>
          <w:sz w:val="32"/>
          <w:szCs w:val="32"/>
        </w:rPr>
        <w:t>：</w:t>
      </w:r>
      <w:bookmarkStart w:id="14" w:name="_Hlk67586038"/>
    </w:p>
    <w:p>
      <w:pPr>
        <w:spacing w:line="560" w:lineRule="exact"/>
        <w:ind w:firstLine="562"/>
        <w:rPr>
          <w:rFonts w:ascii="Times New Roman" w:hAnsi="Times New Roman" w:cs="Times New Roman"/>
          <w:sz w:val="30"/>
          <w:szCs w:val="24"/>
        </w:rPr>
      </w:pPr>
      <w:r>
        <w:rPr>
          <w:rFonts w:ascii="仿宋_GB2312"/>
          <w:b/>
          <w:bCs/>
        </w:rPr>
        <w:t>3.</w:t>
      </w:r>
      <w:r>
        <w:rPr>
          <w:rFonts w:ascii="仿宋_GB2312" w:hint="eastAsia"/>
          <w:b/>
          <w:bCs/>
        </w:rPr>
        <w:t>评价方法</w:t>
      </w:r>
    </w:p>
    <w:bookmarkEnd w:id="14"/>
    <w:p>
      <w:pPr>
        <w:pStyle w:val="BodyTextFirstIndent"/>
        <w:spacing w:line="600" w:lineRule="exact"/>
        <w:ind w:firstLine="640" w:firstLineChars="200"/>
        <w:rPr>
          <w:rFonts w:ascii="仿宋_GB2312" w:hAnsi="仿宋_GB2312" w:cs="仿宋_GB2312" w:hint="eastAsia"/>
          <w:sz w:val="32"/>
          <w:szCs w:val="32"/>
          <w:lang w:val="en-US"/>
        </w:rPr>
      </w:pPr>
      <w:r>
        <w:rPr>
          <w:rFonts w:ascii="仿宋" w:eastAsia="仿宋" w:hAnsi="仿宋" w:cs="仿宋" w:hint="eastAsia"/>
          <w:sz w:val="32"/>
          <w:szCs w:val="32"/>
          <w:lang w:val="en-US" w:bidi="ar-SA"/>
        </w:rPr>
        <w:t>按照《项目支出绩效评价管理办法》（财预〔2020〕10号）规定的具体评价方法和流程，评价小组运用定量和定性分析相结合的方法，综合运用比较法、因素分析法、成本效益法、公众评判等方法进行项目实施的绩效评价</w:t>
      </w:r>
      <w:r>
        <w:rPr>
          <w:rFonts w:ascii="仿宋_GB2312" w:hAnsi="仿宋_GB2312" w:cs="仿宋_GB2312" w:hint="eastAsia"/>
          <w:sz w:val="32"/>
          <w:szCs w:val="32"/>
          <w:lang w:val="en-US"/>
        </w:rPr>
        <w:t>。</w:t>
      </w:r>
    </w:p>
    <w:p>
      <w:pPr>
        <w:spacing w:line="360" w:lineRule="auto"/>
        <w:ind w:firstLine="562"/>
        <w:rPr>
          <w:rFonts w:ascii="仿宋_GB2312"/>
          <w:b/>
          <w:bCs/>
        </w:rPr>
      </w:pPr>
      <w:r>
        <w:rPr>
          <w:rFonts w:ascii="仿宋_GB2312"/>
          <w:b/>
          <w:bCs/>
        </w:rPr>
        <w:t>4.</w:t>
      </w:r>
      <w:r>
        <w:rPr>
          <w:rFonts w:ascii="仿宋_GB2312" w:hint="eastAsia"/>
          <w:b/>
          <w:bCs/>
        </w:rPr>
        <w:t>评价标准</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绩效评价标准主要包括计划标准、行业标准、历史标准等，用于对绩效指标完成情况进行比较。</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（1）计划标准。指以预先制定的目标、计划、预算、定额等作为评价标准。</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（2）行业标准。指参照国家公布的行业指标数据制定的评价标准。</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（3）历史标准。指参照历史数据制定的评价标准，为体现绩效改进的原则，在可实现的条件下应当确定相对较高的评价标准。</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在上述评价标准的基础上，本次评价依据以下文件为重要指导和准绳：</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·《中共中央国务院关于全面实施预算绩效管理的意见》（中发〔2018〕34号）；</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·《项目支出绩效评价管理办法》（财预〔2020〕10号）；</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·《自治区党委自治区人民政府关于全面实施预算绩效管理的实施意见》（新党发〔2018〕30号）；</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·《2023年度推进塔城地区全面实施预算绩效管理工作规划》。</w:t>
      </w:r>
    </w:p>
    <w:p>
      <w:pPr>
        <w:spacing w:line="360" w:lineRule="auto"/>
        <w:ind w:firstLine="562"/>
        <w:outlineLvl w:val="1"/>
        <w:rPr>
          <w:rFonts w:ascii="仿宋_GB2312"/>
          <w:b/>
          <w:bCs/>
        </w:rPr>
      </w:pPr>
      <w:bookmarkStart w:id="15" w:name="_Toc67911607"/>
      <w:bookmarkStart w:id="16" w:name="_Toc12695"/>
      <w:r>
        <w:rPr>
          <w:rFonts w:ascii="仿宋_GB2312" w:hint="eastAsia"/>
          <w:b/>
          <w:bCs/>
        </w:rPr>
        <w:t>（三）绩效评价工作过程</w:t>
      </w:r>
      <w:bookmarkEnd w:id="15"/>
      <w:bookmarkEnd w:id="16"/>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ind w:firstLine="643"/>
        <w:rPr>
          <w:rFonts w:ascii="仿宋_GB2312"/>
          <w:b/>
          <w:bCs/>
          <w:sz w:val="32"/>
          <w:szCs w:val="32"/>
        </w:rPr>
      </w:pPr>
      <w:bookmarkStart w:id="17" w:name="_Toc67911608"/>
      <w:bookmarkStart w:id="18" w:name="_Toc28860"/>
      <w:r>
        <w:rPr>
          <w:rFonts w:ascii="仿宋_GB2312" w:hint="eastAsia"/>
          <w:b/>
          <w:bCs/>
          <w:sz w:val="32"/>
          <w:szCs w:val="32"/>
        </w:rPr>
        <w:t>三、综合评价情况及评价结论</w:t>
      </w:r>
      <w:bookmarkEnd w:id="17"/>
      <w:bookmarkEnd w:id="18"/>
    </w:p>
    <w:p>
      <w:pPr>
        <w:spacing w:line="360" w:lineRule="auto"/>
        <w:ind w:firstLine="562"/>
        <w:outlineLvl w:val="1"/>
        <w:rPr>
          <w:rFonts w:ascii="仿宋_GB2312"/>
          <w:b/>
          <w:bCs/>
          <w:szCs w:val="28"/>
        </w:rPr>
      </w:pPr>
      <w:bookmarkStart w:id="19" w:name="_Toc67911609"/>
      <w:bookmarkStart w:id="20" w:name="_Toc14030"/>
      <w:r>
        <w:rPr>
          <w:rFonts w:ascii="仿宋_GB2312" w:hint="eastAsia"/>
          <w:b/>
          <w:bCs/>
          <w:szCs w:val="28"/>
        </w:rPr>
        <w:t>（一）评价结论</w:t>
      </w:r>
      <w:bookmarkEnd w:id="19"/>
      <w:bookmarkEnd w:id="20"/>
    </w:p>
    <w:p>
      <w:pPr>
        <w:ind w:firstLine="640"/>
        <w:rPr>
          <w:rFonts w:ascii="仿宋_GB2312" w:hint="eastAsia"/>
          <w:b/>
          <w:bCs/>
          <w:szCs w:val="28"/>
        </w:rPr>
      </w:pPr>
      <w:r>
        <w:rPr>
          <w:rFonts w:ascii="仿宋" w:eastAsia="仿宋" w:hAnsi="仿宋" w:cs="仿宋" w:hint="eastAsia"/>
          <w:sz w:val="32"/>
          <w:szCs w:val="32"/>
        </w:rPr>
        <w:t>结合项目特点，制定符合项目实际的绩效评价指标体系及评分标准，通过数据采集、问卷调查及访谈等形式，对2022年1995年以前退休（退职）人员生活补助进行客观评价</w:t>
      </w:r>
      <w:bookmarkStart w:id="21" w:name="_Toc23106"/>
      <w:bookmarkStart w:id="22" w:name="_Toc67911610"/>
      <w:r>
        <w:rPr>
          <w:rFonts w:ascii="仿宋" w:eastAsia="仿宋" w:hAnsi="仿宋" w:cs="仿宋" w:hint="eastAsia"/>
          <w:sz w:val="32"/>
          <w:szCs w:val="32"/>
        </w:rPr>
        <w:t>。</w:t>
      </w:r>
    </w:p>
    <w:bookmarkEnd w:id="21"/>
    <w:bookmarkEnd w:id="22"/>
    <w:p>
      <w:pPr>
        <w:spacing w:line="360" w:lineRule="auto"/>
        <w:ind w:firstLine="0" w:firstLineChars="0"/>
        <w:outlineLvl w:val="0"/>
        <w:rPr>
          <w:rFonts w:ascii="仿宋_GB2312"/>
          <w:b/>
          <w:bCs/>
          <w:sz w:val="32"/>
          <w:szCs w:val="32"/>
        </w:rPr>
      </w:pPr>
      <w:bookmarkStart w:id="23" w:name="_Toc67911611"/>
      <w:bookmarkStart w:id="24" w:name="_Toc20059"/>
      <w:r>
        <w:rPr>
          <w:rFonts w:ascii="仿宋_GB2312" w:hint="eastAsia"/>
          <w:b/>
          <w:bCs/>
          <w:sz w:val="32"/>
          <w:szCs w:val="32"/>
        </w:rPr>
        <w:t>四、绩效评价指标分析</w:t>
      </w:r>
      <w:bookmarkEnd w:id="23"/>
      <w:bookmarkEnd w:id="24"/>
    </w:p>
    <w:p>
      <w:pPr>
        <w:spacing w:line="360" w:lineRule="auto"/>
        <w:ind w:firstLine="562"/>
        <w:outlineLvl w:val="1"/>
        <w:rPr>
          <w:rFonts w:ascii="仿宋_GB2312"/>
          <w:szCs w:val="28"/>
        </w:rPr>
      </w:pPr>
      <w:bookmarkStart w:id="25" w:name="_Toc22626"/>
      <w:bookmarkStart w:id="26" w:name="_Toc67911612"/>
      <w:r>
        <w:rPr>
          <w:rFonts w:ascii="仿宋_GB2312" w:hint="eastAsia"/>
          <w:b/>
          <w:bCs/>
          <w:szCs w:val="28"/>
        </w:rPr>
        <w:t>（一）项目决策情况</w:t>
      </w:r>
      <w:bookmarkEnd w:id="25"/>
      <w:bookmarkEnd w:id="26"/>
    </w:p>
    <w:p>
      <w:pPr>
        <w:ind w:firstLine="640"/>
        <w:rPr>
          <w:rFonts w:ascii="仿宋" w:eastAsia="仿宋" w:hAnsi="仿宋" w:cs="仿宋" w:hint="eastAsia"/>
          <w:sz w:val="32"/>
          <w:szCs w:val="32"/>
        </w:rPr>
      </w:pPr>
      <w:r>
        <w:rPr>
          <w:rFonts w:ascii="仿宋" w:eastAsia="仿宋" w:hAnsi="仿宋" w:cs="仿宋" w:hint="eastAsia"/>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r>
    </w:p>
    <w:p>
      <w:pPr>
        <w:ind w:firstLine="640"/>
        <w:rPr>
          <w:rFonts w:ascii="仿宋" w:eastAsia="仿宋" w:hAnsi="仿宋" w:cs="仿宋" w:hint="eastAsia"/>
          <w:sz w:val="32"/>
          <w:szCs w:val="32"/>
        </w:rPr>
      </w:pPr>
      <w:r>
        <w:rPr>
          <w:rFonts w:ascii="仿宋" w:eastAsia="仿宋" w:hAnsi="仿宋" w:cs="仿宋" w:hint="eastAsia"/>
          <w:sz w:val="32"/>
          <w:szCs w:val="32"/>
        </w:rPr>
        <w:t>2.立项程序规范性:项目按照规定的程序申请设立,审批文件、材料符合相关要求,事前已经过必要的可行性研究、专家论证、风险评估、绩效评估、集体决策。</w:t>
      </w:r>
    </w:p>
    <w:p>
      <w:pPr>
        <w:ind w:firstLine="640"/>
        <w:rPr>
          <w:rFonts w:hint="eastAsia"/>
          <w:sz w:val="32"/>
          <w:szCs w:val="32"/>
        </w:rPr>
      </w:pPr>
      <w:r>
        <w:rPr>
          <w:rFonts w:ascii="仿宋" w:eastAsia="仿宋" w:hAnsi="仿宋" w:cs="仿宋" w:hint="eastAsia"/>
          <w:sz w:val="32"/>
          <w:szCs w:val="32"/>
        </w:rPr>
        <w:t>3.绩效目标合理性:项目有绩效目标,项目绩效目标与实际工作内容具有相关性,项目预期产出效益</w:t>
      </w:r>
      <w:r>
        <w:rPr>
          <w:rFonts w:hint="eastAsia"/>
          <w:sz w:val="32"/>
          <w:szCs w:val="32"/>
        </w:rPr>
        <w:t>和效果符合正常的业绩水平,与预算确定的项目投资额或资金量相匹配。</w:t>
      </w:r>
    </w:p>
    <w:p>
      <w:pPr>
        <w:ind w:firstLine="640"/>
        <w:rPr>
          <w:rFonts w:ascii="仿宋" w:eastAsia="仿宋" w:hAnsi="仿宋" w:cs="仿宋" w:hint="eastAsia"/>
          <w:sz w:val="32"/>
          <w:szCs w:val="32"/>
        </w:rPr>
      </w:pPr>
      <w:r>
        <w:rPr>
          <w:rFonts w:ascii="仿宋" w:eastAsia="仿宋" w:hAnsi="仿宋" w:cs="仿宋" w:hint="eastAsia"/>
          <w:sz w:val="32"/>
          <w:szCs w:val="32"/>
        </w:rPr>
        <w:t>4.绩效指标明确性:将项目绩效目标细化分解为具体的绩效指标,通过清晰、可衡量的指标值予以体现,与项目目标任务数或计划数相对应。</w:t>
      </w:r>
    </w:p>
    <w:p>
      <w:pPr>
        <w:ind w:firstLine="640"/>
        <w:rPr>
          <w:rFonts w:ascii="仿宋" w:eastAsia="仿宋" w:hAnsi="仿宋" w:cs="仿宋" w:hint="eastAsia"/>
          <w:sz w:val="32"/>
          <w:szCs w:val="32"/>
        </w:rPr>
      </w:pPr>
      <w:r>
        <w:rPr>
          <w:rFonts w:ascii="仿宋" w:eastAsia="仿宋" w:hAnsi="仿宋" w:cs="仿宋" w:hint="eastAsia"/>
          <w:sz w:val="32"/>
          <w:szCs w:val="32"/>
        </w:rPr>
        <w:t>5.预算编制科学性:预算编制经过科学论证,预算内容与项目内容匹配,预算额度测算依据充分，按照标准编制,预算确定的项目投资额或资金量与工作任务相匹配。</w:t>
      </w:r>
    </w:p>
    <w:p>
      <w:pPr>
        <w:ind w:firstLine="640"/>
        <w:rPr>
          <w:rFonts w:ascii="仿宋" w:eastAsia="仿宋" w:hAnsi="仿宋" w:cs="仿宋" w:hint="eastAsia"/>
          <w:sz w:val="32"/>
          <w:szCs w:val="32"/>
        </w:rPr>
      </w:pPr>
      <w:r>
        <w:rPr>
          <w:rFonts w:ascii="仿宋" w:eastAsia="仿宋" w:hAnsi="仿宋" w:cs="仿宋" w:hint="eastAsia"/>
          <w:sz w:val="32"/>
          <w:szCs w:val="32"/>
        </w:rPr>
        <w:t>6.资金分配合理性:预算资金分配依据充分,资金分配额度合理，与项目单位或地方实际相适应。</w:t>
      </w:r>
    </w:p>
    <w:p>
      <w:pPr>
        <w:spacing w:line="360" w:lineRule="auto"/>
        <w:ind w:firstLine="562"/>
        <w:outlineLvl w:val="1"/>
        <w:rPr>
          <w:rFonts w:ascii="仿宋_GB2312"/>
          <w:b/>
          <w:bCs/>
          <w:szCs w:val="28"/>
        </w:rPr>
      </w:pPr>
      <w:bookmarkStart w:id="27" w:name="_Toc16968"/>
      <w:bookmarkStart w:id="28" w:name="_Toc67911613"/>
      <w:r>
        <w:rPr>
          <w:rFonts w:ascii="仿宋_GB2312" w:hint="eastAsia"/>
          <w:b/>
          <w:bCs/>
          <w:szCs w:val="28"/>
        </w:rPr>
        <w:t>（二）项目过程情况</w:t>
      </w:r>
      <w:bookmarkEnd w:id="27"/>
      <w:bookmarkEnd w:id="28"/>
    </w:p>
    <w:p>
      <w:pPr>
        <w:ind w:firstLine="562"/>
        <w:rPr>
          <w:rFonts w:ascii="仿宋" w:eastAsia="仿宋" w:hAnsi="仿宋" w:cs="仿宋" w:hint="eastAsia"/>
          <w:sz w:val="32"/>
          <w:szCs w:val="32"/>
        </w:rPr>
      </w:pPr>
      <w:r>
        <w:rPr>
          <w:rFonts w:ascii="仿宋_GB2312"/>
          <w:b/>
          <w:bCs/>
          <w:szCs w:val="28"/>
        </w:rPr>
        <w:t>1.</w:t>
      </w:r>
      <w:r>
        <w:rPr>
          <w:rFonts w:ascii="仿宋_GB2312" w:hint="eastAsia"/>
          <w:b/>
          <w:bCs/>
          <w:szCs w:val="28"/>
        </w:rPr>
        <w:t>资金到位率</w:t>
      </w:r>
      <w:r>
        <w:rPr>
          <w:rFonts w:ascii="仿宋" w:eastAsia="仿宋" w:hAnsi="仿宋" w:cs="仿宋" w:hint="eastAsia"/>
          <w:sz w:val="32"/>
          <w:szCs w:val="32"/>
        </w:rPr>
        <w:t>：</w:t>
      </w:r>
      <w:r>
        <w:rPr>
          <w:rFonts w:hint="eastAsia"/>
          <w:sz w:val="32"/>
          <w:szCs w:val="32"/>
        </w:rPr>
        <w:t xml:space="preserve"> 实</w:t>
      </w:r>
      <w:r>
        <w:rPr>
          <w:rFonts w:ascii="仿宋" w:eastAsia="仿宋" w:hAnsi="仿宋" w:cs="仿宋" w:hint="eastAsia"/>
          <w:sz w:val="32"/>
          <w:szCs w:val="32"/>
        </w:rPr>
        <w:t>际到位资金67.28万元，预算资金67.28万元，资金到位率100%。</w:t>
      </w:r>
    </w:p>
    <w:p>
      <w:pPr>
        <w:spacing w:line="360" w:lineRule="auto"/>
        <w:ind w:firstLine="562"/>
        <w:rPr>
          <w:rFonts w:hint="eastAsia"/>
          <w:sz w:val="32"/>
          <w:szCs w:val="32"/>
        </w:rPr>
      </w:pPr>
      <w:r>
        <w:rPr>
          <w:rFonts w:ascii="仿宋_GB2312" w:hint="eastAsia"/>
          <w:b/>
          <w:bCs/>
          <w:szCs w:val="28"/>
        </w:rPr>
        <w:t>2.预算执行率：</w:t>
      </w:r>
      <w:r>
        <w:rPr>
          <w:rFonts w:hint="eastAsia"/>
          <w:sz w:val="32"/>
          <w:szCs w:val="32"/>
        </w:rPr>
        <w:t>年</w:t>
      </w:r>
      <w:r>
        <w:rPr>
          <w:rFonts w:ascii="仿宋" w:eastAsia="仿宋" w:hAnsi="仿宋" w:cs="仿宋" w:hint="eastAsia"/>
          <w:sz w:val="32"/>
          <w:szCs w:val="32"/>
        </w:rPr>
        <w:t>初预算数67.28万元，全年预算数67.28万元，全年执行数67.28万元，</w:t>
      </w:r>
      <w:r>
        <w:rPr>
          <w:rFonts w:hint="eastAsia"/>
          <w:sz w:val="32"/>
          <w:szCs w:val="32"/>
        </w:rPr>
        <w:t>预算执行率为100%。</w:t>
      </w:r>
    </w:p>
    <w:p>
      <w:pPr>
        <w:spacing w:line="360" w:lineRule="auto"/>
        <w:ind w:firstLine="562"/>
        <w:rPr>
          <w:rFonts w:ascii="仿宋" w:eastAsia="仿宋" w:hAnsi="仿宋" w:cs="仿宋" w:hint="eastAsia"/>
          <w:sz w:val="32"/>
          <w:szCs w:val="32"/>
        </w:rPr>
      </w:pPr>
      <w:r>
        <w:rPr>
          <w:rFonts w:ascii="仿宋_GB2312" w:hint="eastAsia"/>
          <w:b/>
          <w:bCs/>
          <w:szCs w:val="28"/>
        </w:rPr>
        <w:t>3.资金使用合规性：</w:t>
      </w:r>
      <w:bookmarkStart w:id="29" w:name="_GoBack"/>
      <w:bookmarkEnd w:id="29"/>
      <w:r>
        <w:rPr>
          <w:rFonts w:hint="eastAsia"/>
          <w:sz w:val="32"/>
          <w:szCs w:val="32"/>
        </w:rPr>
        <w:t>本</w:t>
      </w:r>
      <w:r>
        <w:rPr>
          <w:rFonts w:ascii="仿宋" w:eastAsia="仿宋" w:hAnsi="仿宋" w:cs="仿宋" w:hint="eastAsia"/>
          <w:sz w:val="32"/>
          <w:szCs w:val="32"/>
        </w:rPr>
        <w:t>项目资金的使用符合国家财经法规和财务管理制度以及有关专项资金管理办法的规定。同时，资金的拨付有</w:t>
      </w:r>
      <w:r>
        <w:rPr>
          <w:rStyle w:val="CommentReference"/>
          <w:rFonts w:ascii="Times New Roman" w:eastAsia="宋体" w:hAnsi="Times New Roman" w:cs="Times New Roman" w:hint="eastAsia"/>
        </w:rPr>
        <w:t>完整的审</w:t>
      </w:r>
      <w:r>
        <w:rPr>
          <w:rFonts w:ascii="仿宋" w:eastAsia="仿宋" w:hAnsi="仿宋" w:cs="仿宋" w:hint="eastAsia"/>
          <w:sz w:val="32"/>
          <w:szCs w:val="32"/>
        </w:rPr>
        <w:t>批程序和手续，符合项目预算批复或合同规定的用途，不存在截留、挤占、挪用、虚列支出等情况。</w:t>
      </w:r>
    </w:p>
    <w:p>
      <w:pPr>
        <w:spacing w:line="360" w:lineRule="auto"/>
        <w:ind w:firstLine="562"/>
        <w:rPr>
          <w:rFonts w:ascii="仿宋" w:eastAsia="仿宋" w:hAnsi="仿宋" w:cs="仿宋" w:hint="eastAsia"/>
          <w:sz w:val="32"/>
          <w:szCs w:val="32"/>
        </w:rPr>
      </w:pPr>
      <w:r>
        <w:rPr>
          <w:rFonts w:ascii="仿宋_GB2312" w:hint="eastAsia"/>
          <w:b/>
          <w:bCs/>
          <w:szCs w:val="28"/>
        </w:rPr>
        <w:t>4.管理制度健全性：</w:t>
      </w:r>
      <w:r>
        <w:rPr>
          <w:rFonts w:ascii="仿宋" w:eastAsia="仿宋" w:hAnsi="仿宋" w:cs="仿宋" w:hint="eastAsia"/>
          <w:sz w:val="32"/>
          <w:szCs w:val="32"/>
        </w:rPr>
        <w:t>乌苏市社会保险中心已制定相应的财务和业务管理制度，且制度合法、合规、完整，为项目顺利实施提供重要保障。</w:t>
      </w:r>
    </w:p>
    <w:p>
      <w:pPr>
        <w:spacing w:line="360" w:lineRule="auto"/>
        <w:ind w:firstLine="640"/>
        <w:rPr>
          <w:rFonts w:ascii="仿宋_GB2312" w:hAnsi="仿宋" w:cs="宋体"/>
          <w:b/>
          <w:kern w:val="0"/>
          <w:szCs w:val="28"/>
        </w:rPr>
      </w:pPr>
      <w:r>
        <w:rPr>
          <w:rFonts w:ascii="仿宋" w:eastAsia="仿宋" w:hAnsi="仿宋" w:cs="仿宋" w:hint="eastAsia"/>
          <w:sz w:val="32"/>
          <w:szCs w:val="32"/>
        </w:rPr>
        <w:t>5.制度执行有效性：根据现场调研和资料抽查情况，乌苏市社会保险中心已制严格遵守相关法律法规和相关管理规定，项目调整及支出调整手续完备，整体管理合理有序，项目完成后，及时将会计凭证、固定资产入库单等相关资料分类归档，制度执行有效</w:t>
      </w:r>
      <w:r>
        <w:rPr>
          <w:rFonts w:ascii="仿宋_GB2312" w:hint="eastAsia"/>
          <w:szCs w:val="28"/>
        </w:rPr>
        <w:t>。</w:t>
      </w:r>
      <w:bookmarkStart w:id="30" w:name="_Hlk67670213"/>
    </w:p>
    <w:bookmarkEnd w:id="30"/>
    <w:p>
      <w:pPr>
        <w:spacing w:line="360" w:lineRule="auto"/>
        <w:ind w:firstLine="562"/>
        <w:outlineLvl w:val="1"/>
        <w:rPr>
          <w:rFonts w:ascii="仿宋_GB2312"/>
          <w:b/>
          <w:bCs/>
          <w:szCs w:val="28"/>
        </w:rPr>
      </w:pPr>
      <w:bookmarkStart w:id="31" w:name="_Toc67911614"/>
      <w:bookmarkStart w:id="32" w:name="_Toc31704"/>
      <w:r>
        <w:rPr>
          <w:rFonts w:ascii="仿宋_GB2312" w:hint="eastAsia"/>
          <w:b/>
          <w:bCs/>
          <w:szCs w:val="28"/>
        </w:rPr>
        <w:t>（三）项目产出情况</w:t>
      </w:r>
      <w:bookmarkEnd w:id="31"/>
      <w:bookmarkEnd w:id="32"/>
    </w:p>
    <w:p>
      <w:pPr>
        <w:spacing w:line="360" w:lineRule="auto"/>
        <w:ind w:firstLine="562"/>
        <w:rPr>
          <w:rFonts w:ascii="仿宋_GB2312"/>
          <w:b/>
          <w:bCs/>
          <w:szCs w:val="28"/>
        </w:rPr>
      </w:pPr>
      <w:r>
        <w:rPr>
          <w:rFonts w:ascii="仿宋_GB2312" w:hint="eastAsia"/>
          <w:b/>
          <w:bCs/>
          <w:szCs w:val="28"/>
        </w:rPr>
        <w:t>1</w:t>
      </w:r>
      <w:r>
        <w:rPr>
          <w:rFonts w:ascii="仿宋_GB2312"/>
          <w:b/>
          <w:bCs/>
          <w:szCs w:val="28"/>
        </w:rPr>
        <w:t>.</w:t>
      </w:r>
      <w:r>
        <w:rPr>
          <w:rFonts w:ascii="仿宋_GB2312" w:hint="eastAsia"/>
          <w:b/>
          <w:bCs/>
          <w:szCs w:val="28"/>
        </w:rPr>
        <w:t>产出数量</w:t>
      </w:r>
    </w:p>
    <w:p>
      <w:pPr>
        <w:spacing w:line="360" w:lineRule="auto"/>
        <w:ind w:firstLine="640"/>
        <w:rPr>
          <w:rFonts w:ascii="仿宋" w:eastAsia="仿宋" w:hAnsi="仿宋" w:cs="仿宋" w:hint="eastAsia"/>
          <w:sz w:val="32"/>
          <w:szCs w:val="32"/>
        </w:rPr>
      </w:pPr>
      <w:r>
        <w:rPr>
          <w:rFonts w:ascii="仿宋" w:eastAsia="仿宋" w:hAnsi="仿宋" w:cs="仿宋" w:hint="eastAsia"/>
          <w:sz w:val="32"/>
          <w:szCs w:val="32"/>
        </w:rPr>
        <w:t>数量指标：指标1：享受95年以前退休人员生活补贴人数，指标值：540人，实际完成值540人 ，指标完成率100%。偏差原因：无 （指标完成率≠100%则存在偏差，若没有则该项不填写）。</w:t>
      </w:r>
    </w:p>
    <w:p>
      <w:pPr>
        <w:spacing w:line="360" w:lineRule="auto"/>
        <w:ind w:firstLine="562"/>
        <w:rPr>
          <w:rFonts w:ascii="仿宋_GB2312"/>
          <w:b/>
          <w:bCs/>
          <w:szCs w:val="28"/>
        </w:rPr>
      </w:pPr>
      <w:r>
        <w:rPr>
          <w:rFonts w:ascii="仿宋_GB2312" w:hint="eastAsia"/>
          <w:b/>
          <w:bCs/>
          <w:szCs w:val="28"/>
        </w:rPr>
        <w:t>2</w:t>
      </w:r>
      <w:r>
        <w:rPr>
          <w:rFonts w:ascii="仿宋_GB2312"/>
          <w:b/>
          <w:bCs/>
          <w:szCs w:val="28"/>
        </w:rPr>
        <w:t>.</w:t>
      </w:r>
      <w:r>
        <w:rPr>
          <w:rFonts w:ascii="仿宋_GB2312" w:hint="eastAsia"/>
          <w:b/>
          <w:bCs/>
          <w:szCs w:val="28"/>
        </w:rPr>
        <w:t>产出质量</w:t>
      </w:r>
    </w:p>
    <w:p>
      <w:pPr>
        <w:spacing w:line="360" w:lineRule="auto"/>
        <w:ind w:firstLine="640"/>
        <w:rPr>
          <w:rFonts w:hint="eastAsia"/>
          <w:sz w:val="32"/>
          <w:szCs w:val="32"/>
        </w:rPr>
      </w:pPr>
      <w:r>
        <w:rPr>
          <w:rFonts w:ascii="仿宋" w:eastAsia="仿宋" w:hAnsi="仿宋" w:cs="仿宋" w:hint="eastAsia"/>
          <w:sz w:val="32"/>
          <w:szCs w:val="32"/>
        </w:rPr>
        <w:t>质量指标：指标1：补贴发放率，指标值：100% ，实际完成值100%，指标完成率100%。偏差原因：无（指标完成率≠100%则存在偏差，若没有则该项不填写</w:t>
      </w:r>
      <w:r>
        <w:rPr>
          <w:rFonts w:hint="eastAsia"/>
          <w:sz w:val="32"/>
          <w:szCs w:val="32"/>
        </w:rPr>
        <w:t>）；</w:t>
      </w:r>
    </w:p>
    <w:p>
      <w:pPr>
        <w:spacing w:line="360" w:lineRule="auto"/>
        <w:ind w:firstLine="562"/>
        <w:rPr>
          <w:rFonts w:ascii="仿宋_GB2312"/>
          <w:b/>
          <w:bCs/>
          <w:szCs w:val="28"/>
        </w:rPr>
      </w:pPr>
      <w:r>
        <w:rPr>
          <w:rFonts w:ascii="仿宋_GB2312" w:hint="eastAsia"/>
          <w:b/>
          <w:bCs/>
          <w:szCs w:val="28"/>
        </w:rPr>
        <w:t>3</w:t>
      </w:r>
      <w:r>
        <w:rPr>
          <w:rFonts w:ascii="仿宋_GB2312"/>
          <w:b/>
          <w:bCs/>
          <w:szCs w:val="28"/>
        </w:rPr>
        <w:t>.</w:t>
      </w:r>
      <w:r>
        <w:rPr>
          <w:rFonts w:ascii="仿宋_GB2312" w:hint="eastAsia"/>
          <w:b/>
          <w:bCs/>
          <w:szCs w:val="28"/>
        </w:rPr>
        <w:t>产出时效</w:t>
      </w:r>
    </w:p>
    <w:p>
      <w:pPr>
        <w:spacing w:line="360" w:lineRule="auto"/>
        <w:ind w:firstLine="640"/>
        <w:rPr>
          <w:rFonts w:hint="eastAsia"/>
          <w:sz w:val="32"/>
          <w:szCs w:val="32"/>
        </w:rPr>
      </w:pPr>
      <w:r>
        <w:rPr>
          <w:rFonts w:hint="eastAsia"/>
          <w:sz w:val="32"/>
          <w:szCs w:val="32"/>
        </w:rPr>
        <w:t>时效指标：指标1：按月发放及时率，指标值：100%，实际完成值 100%，指标完成率100%%。偏差原因：    （指标完成率≠100%则存在偏差，若没有则该项不填写）；</w:t>
      </w:r>
    </w:p>
    <w:p>
      <w:pPr>
        <w:spacing w:line="360" w:lineRule="auto"/>
        <w:ind w:firstLine="562"/>
        <w:rPr>
          <w:rFonts w:ascii="仿宋_GB2312"/>
          <w:b/>
          <w:bCs/>
          <w:szCs w:val="28"/>
        </w:rPr>
      </w:pPr>
      <w:r>
        <w:rPr>
          <w:rFonts w:ascii="仿宋_GB2312" w:hint="eastAsia"/>
          <w:b/>
          <w:bCs/>
          <w:szCs w:val="28"/>
        </w:rPr>
        <w:t>4</w:t>
      </w:r>
      <w:r>
        <w:rPr>
          <w:rFonts w:ascii="仿宋_GB2312"/>
          <w:b/>
          <w:bCs/>
          <w:szCs w:val="28"/>
        </w:rPr>
        <w:t>.</w:t>
      </w:r>
      <w:r>
        <w:rPr>
          <w:rFonts w:ascii="仿宋_GB2312" w:hint="eastAsia"/>
          <w:b/>
          <w:bCs/>
          <w:szCs w:val="28"/>
        </w:rPr>
        <w:t>产出成本</w:t>
      </w:r>
    </w:p>
    <w:p>
      <w:pPr>
        <w:spacing w:line="360" w:lineRule="auto"/>
        <w:ind w:firstLine="640"/>
        <w:rPr>
          <w:rFonts w:hint="eastAsia"/>
          <w:sz w:val="32"/>
          <w:szCs w:val="32"/>
        </w:rPr>
      </w:pPr>
      <w:r>
        <w:rPr>
          <w:rFonts w:hint="eastAsia"/>
          <w:sz w:val="32"/>
          <w:szCs w:val="32"/>
        </w:rPr>
        <w:t>成本指标：指标1：项目支出费用 ，指标值：67.28，实际完成值67.28，指标完成率100%。偏差原因：    （指标完成率≠100%则存在偏差，若没有则该项不填写）；</w:t>
      </w:r>
    </w:p>
    <w:p>
      <w:pPr>
        <w:spacing w:line="360" w:lineRule="auto"/>
        <w:ind w:firstLine="562"/>
        <w:outlineLvl w:val="1"/>
        <w:rPr>
          <w:rFonts w:ascii="仿宋_GB2312"/>
          <w:b/>
          <w:bCs/>
          <w:szCs w:val="28"/>
        </w:rPr>
      </w:pPr>
      <w:bookmarkStart w:id="33" w:name="_Toc67911615"/>
      <w:bookmarkStart w:id="34" w:name="_Toc31697"/>
      <w:r>
        <w:rPr>
          <w:rFonts w:ascii="仿宋_GB2312" w:hint="eastAsia"/>
          <w:b/>
          <w:bCs/>
          <w:szCs w:val="28"/>
        </w:rPr>
        <w:t>（四）项目效益情况</w:t>
      </w:r>
      <w:bookmarkEnd w:id="33"/>
      <w:bookmarkEnd w:id="34"/>
    </w:p>
    <w:p>
      <w:pPr>
        <w:spacing w:line="360" w:lineRule="auto"/>
        <w:ind w:firstLine="562"/>
        <w:rPr>
          <w:rFonts w:ascii="仿宋_GB2312"/>
          <w:b/>
          <w:bCs/>
          <w:szCs w:val="28"/>
        </w:rPr>
      </w:pPr>
      <w:r>
        <w:rPr>
          <w:rFonts w:ascii="仿宋_GB2312" w:hint="eastAsia"/>
          <w:b/>
          <w:bCs/>
          <w:szCs w:val="28"/>
        </w:rPr>
        <w:t>1</w:t>
      </w:r>
      <w:r>
        <w:rPr>
          <w:rFonts w:ascii="仿宋_GB2312"/>
          <w:b/>
          <w:bCs/>
          <w:szCs w:val="28"/>
        </w:rPr>
        <w:t>.</w:t>
      </w:r>
      <w:r>
        <w:rPr>
          <w:rFonts w:ascii="仿宋_GB2312" w:hint="eastAsia"/>
          <w:b/>
          <w:bCs/>
          <w:szCs w:val="28"/>
        </w:rPr>
        <w:t>项目效益</w:t>
      </w:r>
    </w:p>
    <w:p>
      <w:pPr>
        <w:spacing w:line="360" w:lineRule="auto"/>
        <w:ind w:firstLine="562"/>
        <w:rPr>
          <w:rFonts w:ascii="仿宋_GB2312"/>
          <w:b/>
          <w:bCs/>
          <w:szCs w:val="28"/>
        </w:rPr>
      </w:pPr>
      <w:r>
        <w:rPr>
          <w:rFonts w:ascii="仿宋_GB2312" w:hint="eastAsia"/>
          <w:b/>
          <w:bCs/>
          <w:szCs w:val="28"/>
        </w:rPr>
        <w:t>（1）实施效益</w:t>
      </w:r>
    </w:p>
    <w:p>
      <w:pPr>
        <w:spacing w:line="360" w:lineRule="auto"/>
        <w:ind w:firstLine="640"/>
        <w:rPr>
          <w:rFonts w:hint="eastAsia"/>
          <w:sz w:val="32"/>
          <w:szCs w:val="32"/>
        </w:rPr>
      </w:pPr>
      <w:r>
        <w:rPr>
          <w:rFonts w:hint="eastAsia"/>
          <w:sz w:val="32"/>
          <w:szCs w:val="32"/>
        </w:rPr>
        <w:t>社会效益指标：评价指标“解决退休人员基本生活”，指标值：有所改善，实际完成值：达成年度指标。达成年度指标</w:t>
      </w:r>
    </w:p>
    <w:p>
      <w:pPr>
        <w:spacing w:line="360" w:lineRule="auto"/>
        <w:ind w:firstLine="640"/>
        <w:rPr>
          <w:rFonts w:hint="eastAsia"/>
          <w:sz w:val="32"/>
          <w:szCs w:val="32"/>
        </w:rPr>
      </w:pPr>
      <w:r>
        <w:rPr>
          <w:rFonts w:hint="eastAsia"/>
          <w:sz w:val="32"/>
          <w:szCs w:val="32"/>
        </w:rPr>
        <w:t>可持续影响指标：评价指标“群众幸福感”，指标值：有所提升，实际完成值：达成年度指标。达成年度指标</w:t>
      </w:r>
    </w:p>
    <w:p>
      <w:pPr>
        <w:spacing w:line="360" w:lineRule="auto"/>
        <w:ind w:firstLine="640"/>
        <w:rPr>
          <w:rFonts w:hint="eastAsia"/>
          <w:sz w:val="32"/>
          <w:szCs w:val="32"/>
        </w:rPr>
      </w:pPr>
      <w:r>
        <w:rPr>
          <w:rFonts w:hint="eastAsia"/>
          <w:sz w:val="32"/>
          <w:szCs w:val="32"/>
        </w:rPr>
        <w:t>（2）满意度</w:t>
      </w:r>
    </w:p>
    <w:p>
      <w:pPr>
        <w:spacing w:line="360" w:lineRule="auto"/>
        <w:ind w:firstLine="640"/>
        <w:rPr>
          <w:rFonts w:hint="eastAsia"/>
          <w:sz w:val="32"/>
          <w:szCs w:val="32"/>
        </w:rPr>
      </w:pPr>
      <w:r>
        <w:rPr>
          <w:rFonts w:hint="eastAsia"/>
          <w:sz w:val="32"/>
          <w:szCs w:val="32"/>
        </w:rPr>
        <w:t>服务对象满意度指标：评价指标“收益群众满意度”，指标值：≥95%，实际完成值：≥95%。</w:t>
      </w:r>
    </w:p>
    <w:p>
      <w:pPr>
        <w:spacing w:line="360" w:lineRule="auto"/>
        <w:ind w:firstLine="0" w:firstLineChars="0"/>
        <w:outlineLvl w:val="0"/>
        <w:rPr>
          <w:rFonts w:ascii="仿宋_GB2312"/>
          <w:b/>
          <w:bCs/>
          <w:sz w:val="32"/>
          <w:szCs w:val="32"/>
        </w:rPr>
      </w:pPr>
      <w:bookmarkStart w:id="35" w:name="_Toc67911616"/>
      <w:bookmarkStart w:id="36" w:name="_Toc32407"/>
      <w:r>
        <w:rPr>
          <w:rFonts w:ascii="仿宋_GB2312" w:hint="eastAsia"/>
          <w:b/>
          <w:bCs/>
          <w:sz w:val="32"/>
          <w:szCs w:val="32"/>
        </w:rPr>
        <w:t>五、预算执行进度与绩效指标偏差</w:t>
      </w:r>
      <w:bookmarkEnd w:id="35"/>
      <w:bookmarkEnd w:id="36"/>
    </w:p>
    <w:p>
      <w:pPr>
        <w:spacing w:line="360" w:lineRule="auto"/>
        <w:ind w:firstLine="640"/>
        <w:rPr>
          <w:rFonts w:ascii="仿宋_GB2312"/>
          <w:sz w:val="32"/>
          <w:szCs w:val="32"/>
        </w:rPr>
      </w:pPr>
      <w:r>
        <w:rPr>
          <w:rFonts w:ascii="仿宋_GB2312" w:hint="eastAsia"/>
          <w:sz w:val="32"/>
          <w:szCs w:val="32"/>
        </w:rPr>
        <w:t>本项目预算执行率为100%，指标总体完成率为100%，二者之间的偏差值为0%。因此，本项目较好地完成了年度总体目标，财政资金使用效益和效率较高。</w:t>
      </w:r>
    </w:p>
    <w:p>
      <w:pPr>
        <w:spacing w:line="360" w:lineRule="auto"/>
        <w:ind w:firstLine="0" w:firstLineChars="0"/>
        <w:outlineLvl w:val="0"/>
        <w:rPr>
          <w:rFonts w:ascii="仿宋_GB2312"/>
          <w:b/>
          <w:bCs/>
          <w:sz w:val="32"/>
          <w:szCs w:val="32"/>
        </w:rPr>
      </w:pPr>
      <w:bookmarkStart w:id="37" w:name="_Toc5156"/>
      <w:bookmarkStart w:id="38" w:name="_Toc67911617"/>
      <w:r>
        <w:rPr>
          <w:rFonts w:ascii="仿宋_GB2312" w:hint="eastAsia"/>
          <w:b/>
          <w:bCs/>
          <w:sz w:val="32"/>
          <w:szCs w:val="32"/>
        </w:rPr>
        <w:t>六、主要经验及做法、存在的问题及原因分析</w:t>
      </w:r>
      <w:bookmarkEnd w:id="37"/>
      <w:bookmarkEnd w:id="38"/>
    </w:p>
    <w:p>
      <w:pPr>
        <w:spacing w:line="360" w:lineRule="auto"/>
        <w:ind w:firstLine="562"/>
        <w:outlineLvl w:val="1"/>
        <w:rPr>
          <w:rFonts w:ascii="仿宋_GB2312"/>
          <w:b/>
          <w:bCs/>
          <w:szCs w:val="28"/>
        </w:rPr>
      </w:pPr>
      <w:bookmarkStart w:id="39" w:name="_Toc67911618"/>
      <w:bookmarkStart w:id="40" w:name="_Toc18450"/>
      <w:r>
        <w:rPr>
          <w:rFonts w:ascii="仿宋_GB2312" w:hint="eastAsia"/>
          <w:b/>
          <w:bCs/>
          <w:szCs w:val="28"/>
        </w:rPr>
        <w:t>（一）主要经验及做法</w:t>
      </w:r>
      <w:bookmarkEnd w:id="39"/>
      <w:bookmarkEnd w:id="40"/>
    </w:p>
    <w:p>
      <w:pPr>
        <w:ind w:firstLine="640"/>
        <w:jc w:val="left"/>
        <w:rPr>
          <w:rFonts w:ascii="仿宋_GB2312" w:hAnsi="仿宋_GB2312" w:cs="仿宋_GB2312"/>
          <w:sz w:val="32"/>
          <w:szCs w:val="32"/>
        </w:rPr>
      </w:pPr>
      <w:bookmarkStart w:id="41" w:name="_Toc9205"/>
      <w:r>
        <w:rPr>
          <w:rFonts w:ascii="仿宋_GB2312" w:hAnsi="仿宋_GB2312" w:cs="仿宋_GB2312" w:hint="eastAsia"/>
          <w:sz w:val="32"/>
          <w:szCs w:val="32"/>
        </w:rPr>
        <w:t>项目绩效工作是一项长期性的工作，专业性强，工作量大，建议有关部门进一步加强开展相关的业务培训，完善绩效评价方法和评价指标体系，组织开展部门之间、单位之间的经验交流，多注重督促指导推进绩效目标的开展</w:t>
      </w:r>
    </w:p>
    <w:p>
      <w:pPr>
        <w:spacing w:line="600" w:lineRule="exact"/>
        <w:ind w:firstLine="640"/>
        <w:rPr>
          <w:sz w:val="32"/>
          <w:szCs w:val="32"/>
        </w:rPr>
      </w:pPr>
      <w:r>
        <w:rPr>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600" w:lineRule="exact"/>
        <w:ind w:firstLine="640"/>
        <w:rPr>
          <w:rFonts w:ascii="Times New Roman" w:eastAsia="仿宋_GB2312" w:hAnsi="Times New Roman"/>
          <w:b w:val="0"/>
          <w:bCs w:val="0"/>
          <w:kern w:val="2"/>
        </w:rPr>
      </w:pPr>
      <w:r>
        <w:rPr>
          <w:rFonts w:ascii="Times New Roman" w:eastAsia="仿宋_GB2312" w:hAnsi="Times New Roman"/>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360" w:lineRule="auto"/>
        <w:ind w:firstLine="562"/>
        <w:outlineLvl w:val="1"/>
        <w:rPr>
          <w:rFonts w:ascii="仿宋_GB2312"/>
          <w:b/>
          <w:bCs/>
          <w:szCs w:val="28"/>
        </w:rPr>
      </w:pPr>
      <w:r>
        <w:rPr>
          <w:rFonts w:ascii="仿宋_GB2312" w:hint="eastAsia"/>
          <w:b/>
          <w:bCs/>
          <w:szCs w:val="28"/>
        </w:rPr>
        <w:t>（二）存在的问题及原因分析</w:t>
      </w:r>
      <w:bookmarkEnd w:id="41"/>
    </w:p>
    <w:p>
      <w:pPr>
        <w:spacing w:line="360" w:lineRule="auto"/>
        <w:ind w:firstLine="640"/>
        <w:rPr>
          <w:rFonts w:ascii="Times New Roman" w:hAnsi="Times New Roman" w:hint="eastAsia"/>
          <w:sz w:val="32"/>
          <w:szCs w:val="32"/>
        </w:rPr>
      </w:pPr>
      <w:r>
        <w:rPr>
          <w:rFonts w:ascii="Times New Roman" w:hAnsi="Times New Roman" w:hint="eastAsia"/>
          <w:sz w:val="32"/>
          <w:szCs w:val="32"/>
        </w:rPr>
        <w:t>存在获取退休人员相关信息数据不完整、信息时效延迟等原因，可能产生多发、滞后停发等情况，引发追讨难等问题。退休职工生活补贴数据提取自养老金发放数据并每月进行比对，及时标记死亡人员、停发状态。因养老金需每年度进行资格认证、市殡仪馆人员死亡数据非实时更新推送且未关联司法系统数据，所以可能存在多发、滞后停发的情况，存在一定风险。</w:t>
      </w:r>
    </w:p>
    <w:p>
      <w:pPr>
        <w:pStyle w:val="BodyTextFirstIndent2"/>
        <w:ind w:left="0" w:firstLine="640" w:leftChars="0"/>
        <w:rPr>
          <w:rFonts w:ascii="Times New Roman" w:hAnsi="Times New Roman"/>
          <w:sz w:val="32"/>
          <w:szCs w:val="32"/>
        </w:rPr>
      </w:pPr>
      <w:r>
        <w:rPr>
          <w:rFonts w:ascii="Times New Roman" w:hAnsi="Times New Roman" w:hint="eastAsia"/>
          <w:sz w:val="32"/>
          <w:szCs w:val="32"/>
        </w:rPr>
        <w:t>继续推进信息化与提高公共服务水平相结合，通过大数据获取信息共享支撑服务，持续推动政务数据共享，让退休人员信息数据获取效率更高，运用大数据促进保障和改善民生。</w:t>
      </w:r>
    </w:p>
    <w:p>
      <w:pPr>
        <w:spacing w:line="360" w:lineRule="auto"/>
        <w:ind w:firstLine="0" w:firstLineChars="0"/>
        <w:outlineLvl w:val="0"/>
        <w:rPr>
          <w:rFonts w:ascii="仿宋_GB2312"/>
          <w:b/>
          <w:bCs/>
          <w:sz w:val="32"/>
          <w:szCs w:val="32"/>
        </w:rPr>
      </w:pPr>
      <w:bookmarkStart w:id="42" w:name="_Toc26872"/>
      <w:bookmarkStart w:id="43" w:name="_Toc67911619"/>
      <w:r>
        <w:rPr>
          <w:rFonts w:ascii="仿宋_GB2312" w:hint="eastAsia"/>
          <w:b/>
          <w:bCs/>
          <w:sz w:val="32"/>
          <w:szCs w:val="32"/>
        </w:rPr>
        <w:t>七、有关建议其他需要说明的问题</w:t>
      </w:r>
      <w:bookmarkEnd w:id="42"/>
      <w:bookmarkEnd w:id="43"/>
    </w:p>
    <w:p>
      <w:pPr>
        <w:spacing w:line="360" w:lineRule="auto"/>
        <w:ind w:firstLine="640"/>
        <w:rPr>
          <w:rFonts w:ascii="Times New Roman" w:hAnsi="Times New Roman" w:hint="eastAsia"/>
          <w:sz w:val="32"/>
          <w:szCs w:val="32"/>
        </w:rPr>
      </w:pPr>
      <w:r>
        <w:rPr>
          <w:rFonts w:ascii="Times New Roman" w:hAnsi="Times New Roman" w:hint="eastAsia"/>
          <w:sz w:val="32"/>
          <w:szCs w:val="32"/>
        </w:rPr>
        <w:t>1.项目支出政策和路径设计科学，符合实际需要；</w:t>
      </w:r>
    </w:p>
    <w:p>
      <w:pPr>
        <w:spacing w:line="360" w:lineRule="auto"/>
        <w:ind w:firstLine="640"/>
        <w:rPr>
          <w:rFonts w:ascii="Times New Roman" w:hAnsi="Times New Roman" w:hint="eastAsia"/>
          <w:sz w:val="32"/>
          <w:szCs w:val="32"/>
        </w:rPr>
      </w:pPr>
      <w:r>
        <w:rPr>
          <w:rFonts w:ascii="Times New Roman" w:hAnsi="Times New Roman" w:hint="eastAsia"/>
          <w:sz w:val="32"/>
          <w:szCs w:val="32"/>
        </w:rPr>
        <w:t>2.项目安排准确，未发现背离项目立项初衷的情况；</w:t>
      </w:r>
    </w:p>
    <w:p>
      <w:pPr>
        <w:spacing w:line="360" w:lineRule="auto"/>
        <w:ind w:firstLine="640"/>
        <w:rPr>
          <w:rFonts w:ascii="Times New Roman" w:hAnsi="Times New Roman" w:hint="eastAsia"/>
          <w:sz w:val="32"/>
          <w:szCs w:val="32"/>
        </w:rPr>
      </w:pPr>
      <w:r>
        <w:rPr>
          <w:rFonts w:ascii="Times New Roman" w:hAnsi="Times New Roman" w:hint="eastAsia"/>
          <w:sz w:val="32"/>
          <w:szCs w:val="32"/>
        </w:rPr>
        <w:t>3.项目的申报、审核机制完善；</w:t>
      </w:r>
    </w:p>
    <w:p>
      <w:pPr>
        <w:spacing w:line="360" w:lineRule="auto"/>
        <w:ind w:firstLine="640"/>
        <w:rPr>
          <w:rFonts w:ascii="Times New Roman" w:hAnsi="Times New Roman" w:hint="eastAsia"/>
          <w:sz w:val="32"/>
          <w:szCs w:val="32"/>
        </w:rPr>
      </w:pPr>
      <w:r>
        <w:rPr>
          <w:rFonts w:ascii="Times New Roman" w:hAnsi="Times New Roman" w:hint="eastAsia"/>
          <w:sz w:val="32"/>
          <w:szCs w:val="32"/>
        </w:rPr>
        <w:t>4.未发现虚假行为和骗取财政资金的问题。</w:t>
      </w:r>
    </w:p>
    <w:p>
      <w:pPr>
        <w:spacing w:line="360" w:lineRule="auto"/>
        <w:ind w:firstLine="0" w:firstLineChars="0"/>
        <w:outlineLvl w:val="0"/>
        <w:rPr>
          <w:rFonts w:ascii="仿宋_GB2312" w:hint="eastAsia"/>
          <w:b/>
          <w:bCs/>
          <w:sz w:val="32"/>
          <w:szCs w:val="32"/>
        </w:rPr>
      </w:pPr>
      <w:bookmarkStart w:id="44" w:name="_Toc4317"/>
      <w:bookmarkStart w:id="45" w:name="_Toc67911620"/>
      <w:r>
        <w:rPr>
          <w:rFonts w:ascii="仿宋_GB2312" w:hint="eastAsia"/>
          <w:b/>
          <w:bCs/>
          <w:sz w:val="32"/>
          <w:szCs w:val="32"/>
        </w:rPr>
        <w:t>八、</w:t>
      </w:r>
      <w:bookmarkEnd w:id="44"/>
      <w:bookmarkEnd w:id="45"/>
      <w:r>
        <w:rPr>
          <w:rFonts w:ascii="仿宋_GB2312" w:hint="eastAsia"/>
          <w:b/>
          <w:bCs/>
          <w:sz w:val="32"/>
          <w:szCs w:val="32"/>
        </w:rPr>
        <w:t>其他需要说明的问题</w:t>
      </w:r>
    </w:p>
    <w:p>
      <w:pPr>
        <w:pStyle w:val="BodyTextFirstIndent2"/>
        <w:ind w:left="0" w:firstLine="640" w:leftChars="0"/>
        <w:rPr>
          <w:rFonts w:hint="eastAsia"/>
        </w:rPr>
      </w:pPr>
      <w:r>
        <w:rPr>
          <w:rFonts w:ascii="Times New Roman" w:hAnsi="Times New Roman" w:hint="eastAsia"/>
          <w:sz w:val="32"/>
          <w:szCs w:val="32"/>
        </w:rPr>
        <w:t>无</w:t>
      </w:r>
    </w:p>
    <w:sectPr>
      <w:headerReference w:type="default" r:id="rId13"/>
      <w:footerReference w:type="default" r:id="rId14"/>
      <w:footnotePr>
        <w:numFmt w:val="decimalEnclosedCircleChinese"/>
        <w:numRestart w:val="eachPage"/>
      </w:footnotePr>
      <w:type w:val="continuous"/>
      <w:pgSz w:w="11906" w:h="16838"/>
      <w:pgMar w:top="1440" w:right="1800" w:bottom="1440" w:left="1800" w:header="992" w:footer="992" w:gutter="0"/>
      <w:cols w:num="1" w:space="720"/>
      <w:docGrid w:type="lines" w:linePitch="381" w:char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embedRegular r:id="rId1" w:subsetted="1" w:fontKey="{510A7D71-898E-4B45-863D-46029FDCA28E}"/>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embedRegular r:id="rId2" w:subsetted="1" w:fontKey="{7C591C30-6965-4F07-8EA2-35948CE1FB45}"/>
  </w:font>
  <w:font w:name="仿宋_GB2312">
    <w:panose1 w:val="02010609030101010101"/>
    <w:charset w:val="86"/>
    <w:family w:val="modern"/>
    <w:pitch w:val="default"/>
    <w:sig w:usb0="00000001" w:usb1="080E0000" w:usb2="00000000" w:usb3="00000000" w:csb0="00040000" w:csb1="00000000"/>
    <w:embedRegular r:id="rId3" w:subsetted="1" w:fontKey="{42BCEB64-48EE-4A6E-816A-BEFC7D49A122}"/>
  </w:font>
  <w:font w:name="等线 Light">
    <w:panose1 w:val="02010600030101010101"/>
    <w:charset w:val="86"/>
    <w:family w:val="roman"/>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modern"/>
    <w:pitch w:val="default"/>
    <w:sig w:usb0="A00002BF" w:usb1="38CF7CFA" w:usb2="00000016" w:usb3="00000000" w:csb0="0004000F" w:csb1="00000000"/>
    <w:embedRegular r:id="rId4" w:subsetted="1" w:fontKey="{A2BB4A9A-DF0F-4B75-8B89-9C8237C2571E}"/>
  </w:font>
  <w:font w:name="仿宋">
    <w:panose1 w:val="02010609060101010101"/>
    <w:charset w:val="86"/>
    <w:family w:val="modern"/>
    <w:pitch w:val="default"/>
    <w:sig w:usb0="800002BF" w:usb1="38CF7CFA" w:usb2="00000016" w:usb3="00000000" w:csb0="00040001" w:csb1="00000000"/>
    <w:embedRegular r:id="rId5" w:subsetted="1" w:fontKey="{A751287E-8017-47FE-BD6D-167AA9161D3B}"/>
  </w:font>
  <w:font w:name="方正仿宋简体">
    <w:panose1 w:val="02000000000000000000"/>
    <w:charset w:val="86"/>
    <w:family w:val="auto"/>
    <w:pitch w:val="default"/>
    <w:sig w:usb0="A00002BF" w:usb1="184F6CFA" w:usb2="00000012" w:usb3="00000000" w:csb0="00040001" w:csb1="00000000"/>
    <w:embedRegular r:id="rId6" w:subsetted="1" w:fontKey="{8A60090D-CF24-4407-800F-0CFC1B60EE45}"/>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Pr>
        <w:rFonts w:ascii="仿宋_GB2312" w:eastAsia="仿宋_GB2312"/>
        <w:sz w:val="21"/>
        <w:szCs w:val="21"/>
        <w:lang w:val="zh-CN" w:eastAsia="zh-CN"/>
      </w:rPr>
      <w:t>15</w:t>
    </w:r>
    <w:r>
      <w:rPr>
        <w:rFonts w:ascii="仿宋_GB2312" w:eastAsia="仿宋_GB2312" w:hint="eastAsia"/>
        <w:sz w:val="21"/>
        <w:szCs w:val="21"/>
      </w:rPr>
      <w:fldChar w:fldCharType="end"/>
    </w:r>
  </w:p>
  <w:p>
    <w:pPr>
      <w:pStyle w:val="Footer"/>
      <w:rPr>
        <w:rFonts w:ascii="仿宋_GB2312" w:eastAsia="仿宋_GB2312"/>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0" w:firstLineChars="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0" w:firstLineChars="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ind w:firstLine="560"/>
      <w:jc w:val="right"/>
      <w:rPr>
        <w:rFonts w:ascii="仿宋_GB2312" w:eastAsia="仿宋_GB2312"/>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EF60FE1"/>
    <w:multiLevelType w:val="singleLevel"/>
    <w:tmpl w:val="DEF60FE1"/>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defaultTabStop w:val="420"/>
  <w:drawingGridHorizontalSpacing w:val="140"/>
  <w:drawingGridVerticalSpacing w:val="381"/>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A0A"/>
    <w:rsid w:val="00042151"/>
    <w:rsid w:val="000438A0"/>
    <w:rsid w:val="0007002C"/>
    <w:rsid w:val="00086724"/>
    <w:rsid w:val="000A2B58"/>
    <w:rsid w:val="000A43E8"/>
    <w:rsid w:val="000B520E"/>
    <w:rsid w:val="000B6FA0"/>
    <w:rsid w:val="000C720A"/>
    <w:rsid w:val="000C77D3"/>
    <w:rsid w:val="000D2770"/>
    <w:rsid w:val="000F5DE3"/>
    <w:rsid w:val="0010590F"/>
    <w:rsid w:val="00111969"/>
    <w:rsid w:val="00147D9F"/>
    <w:rsid w:val="001544E6"/>
    <w:rsid w:val="001645EB"/>
    <w:rsid w:val="00187B13"/>
    <w:rsid w:val="001A3189"/>
    <w:rsid w:val="001A79B9"/>
    <w:rsid w:val="001C50BA"/>
    <w:rsid w:val="001D66B5"/>
    <w:rsid w:val="001E754D"/>
    <w:rsid w:val="001E7E9F"/>
    <w:rsid w:val="00213964"/>
    <w:rsid w:val="00220DC6"/>
    <w:rsid w:val="0022294C"/>
    <w:rsid w:val="00225A82"/>
    <w:rsid w:val="00247354"/>
    <w:rsid w:val="00250131"/>
    <w:rsid w:val="00261F2F"/>
    <w:rsid w:val="00262B75"/>
    <w:rsid w:val="002810AA"/>
    <w:rsid w:val="00282C03"/>
    <w:rsid w:val="002E1E67"/>
    <w:rsid w:val="002E608B"/>
    <w:rsid w:val="00302E15"/>
    <w:rsid w:val="0032183D"/>
    <w:rsid w:val="0032329D"/>
    <w:rsid w:val="00332C71"/>
    <w:rsid w:val="00333EA5"/>
    <w:rsid w:val="00340CED"/>
    <w:rsid w:val="00343485"/>
    <w:rsid w:val="00350839"/>
    <w:rsid w:val="00377BA7"/>
    <w:rsid w:val="003B2851"/>
    <w:rsid w:val="003C24DB"/>
    <w:rsid w:val="003C4BD9"/>
    <w:rsid w:val="00404C10"/>
    <w:rsid w:val="004249EE"/>
    <w:rsid w:val="00437C39"/>
    <w:rsid w:val="00490593"/>
    <w:rsid w:val="004925F6"/>
    <w:rsid w:val="004957B3"/>
    <w:rsid w:val="004B5A40"/>
    <w:rsid w:val="004D4759"/>
    <w:rsid w:val="004F17C9"/>
    <w:rsid w:val="004F66E9"/>
    <w:rsid w:val="005345BF"/>
    <w:rsid w:val="00534DD6"/>
    <w:rsid w:val="005417D4"/>
    <w:rsid w:val="0054442E"/>
    <w:rsid w:val="00553F30"/>
    <w:rsid w:val="00563798"/>
    <w:rsid w:val="00566083"/>
    <w:rsid w:val="0056794C"/>
    <w:rsid w:val="005764CD"/>
    <w:rsid w:val="005779FD"/>
    <w:rsid w:val="0058379D"/>
    <w:rsid w:val="00593474"/>
    <w:rsid w:val="005A12D0"/>
    <w:rsid w:val="005A2254"/>
    <w:rsid w:val="005A3748"/>
    <w:rsid w:val="005A5ABF"/>
    <w:rsid w:val="005A5E3B"/>
    <w:rsid w:val="005B7A28"/>
    <w:rsid w:val="005D2F48"/>
    <w:rsid w:val="005E2098"/>
    <w:rsid w:val="005F226E"/>
    <w:rsid w:val="005F273F"/>
    <w:rsid w:val="00604BA5"/>
    <w:rsid w:val="00607D5B"/>
    <w:rsid w:val="00611B95"/>
    <w:rsid w:val="00614CEC"/>
    <w:rsid w:val="00627F97"/>
    <w:rsid w:val="00644792"/>
    <w:rsid w:val="00656DB7"/>
    <w:rsid w:val="00662C67"/>
    <w:rsid w:val="006B60FE"/>
    <w:rsid w:val="006C40AE"/>
    <w:rsid w:val="006E6431"/>
    <w:rsid w:val="006F3315"/>
    <w:rsid w:val="007027A1"/>
    <w:rsid w:val="00705854"/>
    <w:rsid w:val="00722A72"/>
    <w:rsid w:val="00733402"/>
    <w:rsid w:val="00743F96"/>
    <w:rsid w:val="0076734C"/>
    <w:rsid w:val="00783118"/>
    <w:rsid w:val="007C3F63"/>
    <w:rsid w:val="007F185A"/>
    <w:rsid w:val="007F6051"/>
    <w:rsid w:val="007F6745"/>
    <w:rsid w:val="007F77F3"/>
    <w:rsid w:val="008123C5"/>
    <w:rsid w:val="00816D0E"/>
    <w:rsid w:val="008327EB"/>
    <w:rsid w:val="00835535"/>
    <w:rsid w:val="00863F65"/>
    <w:rsid w:val="00866FB0"/>
    <w:rsid w:val="00884C5F"/>
    <w:rsid w:val="00894E2C"/>
    <w:rsid w:val="008A3394"/>
    <w:rsid w:val="008A476A"/>
    <w:rsid w:val="008C4803"/>
    <w:rsid w:val="008D3FFC"/>
    <w:rsid w:val="008D6D96"/>
    <w:rsid w:val="009068E0"/>
    <w:rsid w:val="00907B15"/>
    <w:rsid w:val="009214DF"/>
    <w:rsid w:val="00923604"/>
    <w:rsid w:val="009258BD"/>
    <w:rsid w:val="00933961"/>
    <w:rsid w:val="009546FE"/>
    <w:rsid w:val="0095473C"/>
    <w:rsid w:val="00954936"/>
    <w:rsid w:val="00963948"/>
    <w:rsid w:val="00981879"/>
    <w:rsid w:val="0098656D"/>
    <w:rsid w:val="00995079"/>
    <w:rsid w:val="00996B5B"/>
    <w:rsid w:val="009D4C5C"/>
    <w:rsid w:val="009F55B0"/>
    <w:rsid w:val="00A106CE"/>
    <w:rsid w:val="00A2064E"/>
    <w:rsid w:val="00A22963"/>
    <w:rsid w:val="00A425B1"/>
    <w:rsid w:val="00A43A0A"/>
    <w:rsid w:val="00A52E72"/>
    <w:rsid w:val="00AE1DCD"/>
    <w:rsid w:val="00AE6C31"/>
    <w:rsid w:val="00B22F6F"/>
    <w:rsid w:val="00B4167E"/>
    <w:rsid w:val="00B47692"/>
    <w:rsid w:val="00B72218"/>
    <w:rsid w:val="00B90BA4"/>
    <w:rsid w:val="00B962E0"/>
    <w:rsid w:val="00BA0A35"/>
    <w:rsid w:val="00BA10B1"/>
    <w:rsid w:val="00BA13B7"/>
    <w:rsid w:val="00BA65B8"/>
    <w:rsid w:val="00BA76B5"/>
    <w:rsid w:val="00BC5C63"/>
    <w:rsid w:val="00BD31C9"/>
    <w:rsid w:val="00BE5FCC"/>
    <w:rsid w:val="00BF1766"/>
    <w:rsid w:val="00BF27D1"/>
    <w:rsid w:val="00C00DA2"/>
    <w:rsid w:val="00C20C51"/>
    <w:rsid w:val="00C409B9"/>
    <w:rsid w:val="00C634EC"/>
    <w:rsid w:val="00C66545"/>
    <w:rsid w:val="00C8191C"/>
    <w:rsid w:val="00CA7051"/>
    <w:rsid w:val="00CA74C5"/>
    <w:rsid w:val="00CB3DFC"/>
    <w:rsid w:val="00CB6D38"/>
    <w:rsid w:val="00CE6337"/>
    <w:rsid w:val="00CF640C"/>
    <w:rsid w:val="00CF7439"/>
    <w:rsid w:val="00D04E2D"/>
    <w:rsid w:val="00D23DCB"/>
    <w:rsid w:val="00D3320C"/>
    <w:rsid w:val="00D34884"/>
    <w:rsid w:val="00D4562E"/>
    <w:rsid w:val="00D65C30"/>
    <w:rsid w:val="00D84293"/>
    <w:rsid w:val="00D9228E"/>
    <w:rsid w:val="00DA4BA7"/>
    <w:rsid w:val="00DB316E"/>
    <w:rsid w:val="00DC1EA8"/>
    <w:rsid w:val="00DD54BF"/>
    <w:rsid w:val="00DF643F"/>
    <w:rsid w:val="00E00B28"/>
    <w:rsid w:val="00E014DB"/>
    <w:rsid w:val="00E14FE5"/>
    <w:rsid w:val="00E24ACA"/>
    <w:rsid w:val="00E26770"/>
    <w:rsid w:val="00E30B1D"/>
    <w:rsid w:val="00E526C7"/>
    <w:rsid w:val="00EA63EF"/>
    <w:rsid w:val="00EA7E72"/>
    <w:rsid w:val="00EB0442"/>
    <w:rsid w:val="00EC5F03"/>
    <w:rsid w:val="00EF3B51"/>
    <w:rsid w:val="00F06D23"/>
    <w:rsid w:val="00F36E98"/>
    <w:rsid w:val="00F52C6D"/>
    <w:rsid w:val="00F55451"/>
    <w:rsid w:val="00F73710"/>
    <w:rsid w:val="00F872E7"/>
    <w:rsid w:val="00FB09C6"/>
    <w:rsid w:val="00FB2BBD"/>
    <w:rsid w:val="00FD7A36"/>
    <w:rsid w:val="00FD7C5F"/>
    <w:rsid w:val="00FE193C"/>
    <w:rsid w:val="00FE7DCA"/>
    <w:rsid w:val="00FF0452"/>
    <w:rsid w:val="0176597C"/>
    <w:rsid w:val="01AE15BA"/>
    <w:rsid w:val="01AE3368"/>
    <w:rsid w:val="0204742C"/>
    <w:rsid w:val="03327FC8"/>
    <w:rsid w:val="03CE5F43"/>
    <w:rsid w:val="043B3539"/>
    <w:rsid w:val="05777F14"/>
    <w:rsid w:val="05856AD5"/>
    <w:rsid w:val="05B9677F"/>
    <w:rsid w:val="063522A9"/>
    <w:rsid w:val="08031F33"/>
    <w:rsid w:val="09B71227"/>
    <w:rsid w:val="09D678FF"/>
    <w:rsid w:val="0AEB73DB"/>
    <w:rsid w:val="0AF12517"/>
    <w:rsid w:val="0B330D82"/>
    <w:rsid w:val="0C3E79DE"/>
    <w:rsid w:val="0C8C699B"/>
    <w:rsid w:val="0CDB522D"/>
    <w:rsid w:val="0D961154"/>
    <w:rsid w:val="0DD04666"/>
    <w:rsid w:val="0E3A512A"/>
    <w:rsid w:val="0F195965"/>
    <w:rsid w:val="0F4B739B"/>
    <w:rsid w:val="11C40985"/>
    <w:rsid w:val="11E60A6C"/>
    <w:rsid w:val="120314AE"/>
    <w:rsid w:val="1283439D"/>
    <w:rsid w:val="15A9411A"/>
    <w:rsid w:val="15C42D02"/>
    <w:rsid w:val="16223ECC"/>
    <w:rsid w:val="16664E01"/>
    <w:rsid w:val="167504A0"/>
    <w:rsid w:val="16FB6BF7"/>
    <w:rsid w:val="17084E70"/>
    <w:rsid w:val="17822E75"/>
    <w:rsid w:val="179E7583"/>
    <w:rsid w:val="17B84AE8"/>
    <w:rsid w:val="181A30AD"/>
    <w:rsid w:val="18DC0363"/>
    <w:rsid w:val="19455781"/>
    <w:rsid w:val="1A1324AA"/>
    <w:rsid w:val="1AA94BBC"/>
    <w:rsid w:val="1B9969DF"/>
    <w:rsid w:val="1C24274C"/>
    <w:rsid w:val="1C4E5A1B"/>
    <w:rsid w:val="1C580648"/>
    <w:rsid w:val="1C602A61"/>
    <w:rsid w:val="1C662D65"/>
    <w:rsid w:val="1CFF0AC4"/>
    <w:rsid w:val="1DDB32DF"/>
    <w:rsid w:val="1EAF2075"/>
    <w:rsid w:val="1F055AA3"/>
    <w:rsid w:val="1F533349"/>
    <w:rsid w:val="1F6B41EE"/>
    <w:rsid w:val="1FCA0F02"/>
    <w:rsid w:val="20250841"/>
    <w:rsid w:val="20D02EA3"/>
    <w:rsid w:val="21AE2AB8"/>
    <w:rsid w:val="223E1265"/>
    <w:rsid w:val="22756F40"/>
    <w:rsid w:val="22F4274D"/>
    <w:rsid w:val="23372DE1"/>
    <w:rsid w:val="23447230"/>
    <w:rsid w:val="23627FFE"/>
    <w:rsid w:val="23BF71FF"/>
    <w:rsid w:val="24A3267C"/>
    <w:rsid w:val="24AF06E2"/>
    <w:rsid w:val="255A7778"/>
    <w:rsid w:val="258C7457"/>
    <w:rsid w:val="25EF3DCB"/>
    <w:rsid w:val="26061115"/>
    <w:rsid w:val="260971F7"/>
    <w:rsid w:val="2641214D"/>
    <w:rsid w:val="26712A32"/>
    <w:rsid w:val="268B161A"/>
    <w:rsid w:val="287B7B98"/>
    <w:rsid w:val="2B7C2DFD"/>
    <w:rsid w:val="2B892294"/>
    <w:rsid w:val="2BEE68D3"/>
    <w:rsid w:val="2C297706"/>
    <w:rsid w:val="2D6055AE"/>
    <w:rsid w:val="2DAA05D8"/>
    <w:rsid w:val="2E8B28E4"/>
    <w:rsid w:val="301B3A0F"/>
    <w:rsid w:val="302E78DA"/>
    <w:rsid w:val="304C1E1A"/>
    <w:rsid w:val="309D2676"/>
    <w:rsid w:val="31327262"/>
    <w:rsid w:val="319A0963"/>
    <w:rsid w:val="325C323B"/>
    <w:rsid w:val="32C75788"/>
    <w:rsid w:val="34496D9C"/>
    <w:rsid w:val="344C063B"/>
    <w:rsid w:val="350B22A4"/>
    <w:rsid w:val="357A4D33"/>
    <w:rsid w:val="35E30B2B"/>
    <w:rsid w:val="35E711C8"/>
    <w:rsid w:val="3608233F"/>
    <w:rsid w:val="36C02C1A"/>
    <w:rsid w:val="36DD1A1E"/>
    <w:rsid w:val="37920A5A"/>
    <w:rsid w:val="37C61A08"/>
    <w:rsid w:val="37E56DDC"/>
    <w:rsid w:val="38A22854"/>
    <w:rsid w:val="38D94467"/>
    <w:rsid w:val="39E9692C"/>
    <w:rsid w:val="3A571AE7"/>
    <w:rsid w:val="3AA60379"/>
    <w:rsid w:val="3ABC194A"/>
    <w:rsid w:val="3AFD408D"/>
    <w:rsid w:val="3B2714BA"/>
    <w:rsid w:val="3B293484"/>
    <w:rsid w:val="3B666687"/>
    <w:rsid w:val="3BA50630"/>
    <w:rsid w:val="3C581F4B"/>
    <w:rsid w:val="3CDB69FF"/>
    <w:rsid w:val="3D0221DE"/>
    <w:rsid w:val="3D474095"/>
    <w:rsid w:val="3DA20707"/>
    <w:rsid w:val="3DBB397B"/>
    <w:rsid w:val="3DF02037"/>
    <w:rsid w:val="3ED25BE0"/>
    <w:rsid w:val="3EF913BF"/>
    <w:rsid w:val="3F744EE9"/>
    <w:rsid w:val="3FE71217"/>
    <w:rsid w:val="408467AF"/>
    <w:rsid w:val="40BA2031"/>
    <w:rsid w:val="40FB141E"/>
    <w:rsid w:val="41994793"/>
    <w:rsid w:val="41E9571B"/>
    <w:rsid w:val="4230334A"/>
    <w:rsid w:val="42360234"/>
    <w:rsid w:val="4268268D"/>
    <w:rsid w:val="42A17DA3"/>
    <w:rsid w:val="42F36125"/>
    <w:rsid w:val="43421586"/>
    <w:rsid w:val="435F5AE9"/>
    <w:rsid w:val="43A85162"/>
    <w:rsid w:val="44223166"/>
    <w:rsid w:val="46317690"/>
    <w:rsid w:val="46582E6F"/>
    <w:rsid w:val="472C1108"/>
    <w:rsid w:val="47532CF6"/>
    <w:rsid w:val="47F866B8"/>
    <w:rsid w:val="480B2C78"/>
    <w:rsid w:val="4812191F"/>
    <w:rsid w:val="493C0826"/>
    <w:rsid w:val="49793828"/>
    <w:rsid w:val="4A0A0924"/>
    <w:rsid w:val="4AE72A13"/>
    <w:rsid w:val="4B3D1480"/>
    <w:rsid w:val="4B78366B"/>
    <w:rsid w:val="4BA426B2"/>
    <w:rsid w:val="4CEA3415"/>
    <w:rsid w:val="4D1E7039"/>
    <w:rsid w:val="4D1F5C8B"/>
    <w:rsid w:val="4D7B50C5"/>
    <w:rsid w:val="4D87403A"/>
    <w:rsid w:val="4DD92AE7"/>
    <w:rsid w:val="4E1F4272"/>
    <w:rsid w:val="4E796078"/>
    <w:rsid w:val="4ECB7815"/>
    <w:rsid w:val="4F4B17C3"/>
    <w:rsid w:val="4F4F2935"/>
    <w:rsid w:val="4F840831"/>
    <w:rsid w:val="4F912F4E"/>
    <w:rsid w:val="50A76ECD"/>
    <w:rsid w:val="50D650BC"/>
    <w:rsid w:val="51725C38"/>
    <w:rsid w:val="51741B9B"/>
    <w:rsid w:val="51842D6A"/>
    <w:rsid w:val="51870AAC"/>
    <w:rsid w:val="52075749"/>
    <w:rsid w:val="52533081"/>
    <w:rsid w:val="535B3F9E"/>
    <w:rsid w:val="53D0673A"/>
    <w:rsid w:val="54E56216"/>
    <w:rsid w:val="55195EBF"/>
    <w:rsid w:val="55747599"/>
    <w:rsid w:val="55884597"/>
    <w:rsid w:val="55C220B3"/>
    <w:rsid w:val="560B31DC"/>
    <w:rsid w:val="563C0D0B"/>
    <w:rsid w:val="56C63E25"/>
    <w:rsid w:val="579D2DD8"/>
    <w:rsid w:val="57E97DCB"/>
    <w:rsid w:val="582901C7"/>
    <w:rsid w:val="592A2449"/>
    <w:rsid w:val="593308C8"/>
    <w:rsid w:val="59C4289D"/>
    <w:rsid w:val="5A184997"/>
    <w:rsid w:val="5B123195"/>
    <w:rsid w:val="5B153A8E"/>
    <w:rsid w:val="5B7C0F56"/>
    <w:rsid w:val="5B8D3163"/>
    <w:rsid w:val="5CF07877"/>
    <w:rsid w:val="5DBF512A"/>
    <w:rsid w:val="5E4915C3"/>
    <w:rsid w:val="5F28567D"/>
    <w:rsid w:val="5FC1162D"/>
    <w:rsid w:val="5FD41360"/>
    <w:rsid w:val="60E03D35"/>
    <w:rsid w:val="619012B7"/>
    <w:rsid w:val="619D39D4"/>
    <w:rsid w:val="62726C0F"/>
    <w:rsid w:val="62917095"/>
    <w:rsid w:val="62970423"/>
    <w:rsid w:val="631D6B7A"/>
    <w:rsid w:val="639A466F"/>
    <w:rsid w:val="64195594"/>
    <w:rsid w:val="644F417A"/>
    <w:rsid w:val="64E7071A"/>
    <w:rsid w:val="654A4D5B"/>
    <w:rsid w:val="65D774B5"/>
    <w:rsid w:val="660E3933"/>
    <w:rsid w:val="66D32372"/>
    <w:rsid w:val="66D47E98"/>
    <w:rsid w:val="66D71E79"/>
    <w:rsid w:val="67E10ABE"/>
    <w:rsid w:val="68273FF7"/>
    <w:rsid w:val="6A505A87"/>
    <w:rsid w:val="6ABC06AE"/>
    <w:rsid w:val="6AEA5EDC"/>
    <w:rsid w:val="6C0B435C"/>
    <w:rsid w:val="6C2B039F"/>
    <w:rsid w:val="6C4E5FF7"/>
    <w:rsid w:val="6C895281"/>
    <w:rsid w:val="6D7D004C"/>
    <w:rsid w:val="6D9A662D"/>
    <w:rsid w:val="6EE13152"/>
    <w:rsid w:val="6F3A24B5"/>
    <w:rsid w:val="6F8D32DA"/>
    <w:rsid w:val="70A628A5"/>
    <w:rsid w:val="70FA499F"/>
    <w:rsid w:val="71920A58"/>
    <w:rsid w:val="72005FE5"/>
    <w:rsid w:val="72DA4A88"/>
    <w:rsid w:val="72DB435C"/>
    <w:rsid w:val="72DF0C5C"/>
    <w:rsid w:val="73027B3B"/>
    <w:rsid w:val="73057AEE"/>
    <w:rsid w:val="731A4E85"/>
    <w:rsid w:val="744F0B5E"/>
    <w:rsid w:val="745B5755"/>
    <w:rsid w:val="746A5998"/>
    <w:rsid w:val="750000AA"/>
    <w:rsid w:val="75422471"/>
    <w:rsid w:val="756D1BE3"/>
    <w:rsid w:val="75DC0B17"/>
    <w:rsid w:val="771A18F7"/>
    <w:rsid w:val="77D5581E"/>
    <w:rsid w:val="783562BD"/>
    <w:rsid w:val="786D5A56"/>
    <w:rsid w:val="78770683"/>
    <w:rsid w:val="78F65A4C"/>
    <w:rsid w:val="79091C23"/>
    <w:rsid w:val="7A356A48"/>
    <w:rsid w:val="7A440A39"/>
    <w:rsid w:val="7AB83901"/>
    <w:rsid w:val="7AC34054"/>
    <w:rsid w:val="7AF91823"/>
    <w:rsid w:val="7B4E6013"/>
    <w:rsid w:val="7B7B492E"/>
    <w:rsid w:val="7B9F686F"/>
    <w:rsid w:val="7BD93CBC"/>
    <w:rsid w:val="7C0B7E8B"/>
    <w:rsid w:val="7C5E5DE2"/>
    <w:rsid w:val="7CAA2512"/>
    <w:rsid w:val="7D787E9B"/>
    <w:rsid w:val="7DA77C5D"/>
    <w:rsid w:val="7E2D0162"/>
    <w:rsid w:val="7E2E7A36"/>
    <w:rsid w:val="7F3A5AF5"/>
    <w:rsid w:val="7F606315"/>
    <w:rsid w:val="7F8A3392"/>
  </w:rsids>
  <w:docVars>
    <w:docVar w:name="commondata" w:val="eyJoZGlkIjoiM2I3NzczNTMzMzliN2I5OTE1MjFhMmZjMDBmNDNhZT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qFormat="1"/>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semiHidden="0" w:uiPriority="0" w:unhideWhenUsed="0" w:qFormat="1"/>
    <w:lsdException w:name="Body Text First Indent 2" w:semiHidden="0" w:uiPriority="0" w:unhideWhenUsed="0" w:qFormat="1"/>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FirstIndent2"/>
    <w:qFormat/>
    <w:pPr>
      <w:widowControl w:val="0"/>
      <w:ind w:firstLine="600" w:firstLineChars="200"/>
      <w:jc w:val="both"/>
    </w:pPr>
    <w:rPr>
      <w:rFonts w:ascii="Calibri" w:eastAsia="仿宋_GB2312" w:hAnsi="Calibri" w:cs="黑体"/>
      <w:kern w:val="2"/>
      <w:sz w:val="28"/>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rFonts w:cs="Times New Roman"/>
      <w:b/>
      <w:bCs/>
      <w:kern w:val="44"/>
      <w:sz w:val="44"/>
      <w:szCs w:val="44"/>
    </w:rPr>
  </w:style>
  <w:style w:type="paragraph" w:styleId="Heading2">
    <w:name w:val="heading 2"/>
    <w:basedOn w:val="Normal"/>
    <w:next w:val="Normal"/>
    <w:link w:val="2Char"/>
    <w:uiPriority w:val="9"/>
    <w:qFormat/>
    <w:pPr>
      <w:keepNext/>
      <w:keepLines/>
      <w:spacing w:before="260" w:after="260" w:line="416" w:lineRule="auto"/>
      <w:outlineLvl w:val="1"/>
    </w:pPr>
    <w:rPr>
      <w:rFonts w:ascii="等线 Light" w:eastAsia="等线 Light" w:hAnsi="等线 Light" w:cs="Times New Roman"/>
      <w:b/>
      <w:bCs/>
      <w:kern w:val="0"/>
      <w:sz w:val="32"/>
      <w:szCs w:val="32"/>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odyTextFirstIndent2">
    <w:name w:val="Body Text First Indent 2"/>
    <w:basedOn w:val="BodyTextIndent"/>
    <w:qFormat/>
    <w:pPr>
      <w:ind w:firstLine="420"/>
    </w:pPr>
  </w:style>
  <w:style w:type="paragraph" w:styleId="BodyTextIndent">
    <w:name w:val="Body Text Indent"/>
    <w:basedOn w:val="Normal"/>
    <w:qFormat/>
    <w:pPr>
      <w:spacing w:after="120"/>
      <w:ind w:left="420" w:leftChars="200"/>
    </w:pPr>
  </w:style>
  <w:style w:type="paragraph" w:styleId="CommentText">
    <w:name w:val="annotation text"/>
    <w:basedOn w:val="Normal"/>
    <w:link w:val="Char"/>
    <w:uiPriority w:val="99"/>
    <w:unhideWhenUsed/>
    <w:qFormat/>
    <w:pPr>
      <w:jc w:val="left"/>
    </w:pPr>
    <w:rPr>
      <w:rFonts w:cs="Times New Roman"/>
      <w:kern w:val="0"/>
      <w:szCs w:val="20"/>
    </w:rPr>
  </w:style>
  <w:style w:type="paragraph" w:styleId="BodyText">
    <w:name w:val="Body Text"/>
    <w:basedOn w:val="Normal"/>
    <w:link w:val="Char0"/>
    <w:uiPriority w:val="99"/>
    <w:unhideWhenUsed/>
    <w:qFormat/>
    <w:pPr>
      <w:spacing w:after="120"/>
    </w:pPr>
    <w:rPr>
      <w:rFonts w:cs="Times New Roman"/>
    </w:rPr>
  </w:style>
  <w:style w:type="paragraph" w:styleId="Date">
    <w:name w:val="Date"/>
    <w:basedOn w:val="Normal"/>
    <w:next w:val="Normal"/>
    <w:link w:val="Char1"/>
    <w:uiPriority w:val="99"/>
    <w:unhideWhenUsed/>
    <w:qFormat/>
    <w:pPr>
      <w:ind w:left="100" w:leftChars="2500"/>
    </w:pPr>
    <w:rPr>
      <w:rFonts w:cs="Times New Roman"/>
      <w:kern w:val="0"/>
      <w:szCs w:val="20"/>
    </w:rPr>
  </w:style>
  <w:style w:type="paragraph" w:styleId="BalloonText">
    <w:name w:val="Balloon Text"/>
    <w:basedOn w:val="Normal"/>
    <w:link w:val="Char2"/>
    <w:uiPriority w:val="99"/>
    <w:unhideWhenUsed/>
    <w:qFormat/>
    <w:rPr>
      <w:rFonts w:cs="Times New Roman"/>
      <w:sz w:val="18"/>
      <w:szCs w:val="18"/>
    </w:rPr>
  </w:style>
  <w:style w:type="paragraph" w:styleId="Footer">
    <w:name w:val="footer"/>
    <w:basedOn w:val="Normal"/>
    <w:link w:val="Char3"/>
    <w:uiPriority w:val="99"/>
    <w:unhideWhenUsed/>
    <w:qFormat/>
    <w:pPr>
      <w:tabs>
        <w:tab w:val="center" w:pos="4153"/>
        <w:tab w:val="right" w:pos="8306"/>
      </w:tabs>
      <w:snapToGrid w:val="0"/>
      <w:ind w:firstLine="0" w:firstLineChars="0"/>
      <w:jc w:val="left"/>
    </w:pPr>
    <w:rPr>
      <w:rFonts w:ascii="Times New Roman" w:eastAsia="宋体" w:hAnsi="Times New Roman" w:cs="Times New Roman"/>
      <w:kern w:val="0"/>
      <w:sz w:val="18"/>
      <w:szCs w:val="18"/>
    </w:rPr>
  </w:style>
  <w:style w:type="paragraph" w:styleId="Header">
    <w:name w:val="header"/>
    <w:basedOn w:val="Normal"/>
    <w:link w:val="Char4"/>
    <w:uiPriority w:val="99"/>
    <w:unhideWhenUsed/>
    <w:qFormat/>
    <w:pPr>
      <w:pBdr>
        <w:bottom w:val="single" w:sz="6" w:space="1" w:color="auto"/>
      </w:pBdr>
      <w:tabs>
        <w:tab w:val="center" w:pos="4153"/>
        <w:tab w:val="right" w:pos="8306"/>
      </w:tabs>
      <w:snapToGrid w:val="0"/>
      <w:ind w:firstLine="0" w:firstLineChars="0"/>
      <w:jc w:val="center"/>
    </w:pPr>
    <w:rPr>
      <w:rFonts w:ascii="Times New Roman" w:eastAsia="宋体" w:hAnsi="Times New Roman" w:cs="Times New Roman"/>
      <w:kern w:val="0"/>
      <w:sz w:val="18"/>
      <w:szCs w:val="18"/>
    </w:rPr>
  </w:style>
  <w:style w:type="paragraph" w:styleId="TOC1">
    <w:name w:val="toc 1"/>
    <w:basedOn w:val="Normal"/>
    <w:next w:val="Normal"/>
    <w:uiPriority w:val="39"/>
    <w:unhideWhenUsed/>
    <w:qFormat/>
  </w:style>
  <w:style w:type="paragraph" w:styleId="FootnoteText">
    <w:name w:val="footnote text"/>
    <w:basedOn w:val="Normal"/>
    <w:link w:val="Char5"/>
    <w:uiPriority w:val="99"/>
    <w:unhideWhenUsed/>
    <w:qFormat/>
    <w:pPr>
      <w:snapToGrid w:val="0"/>
      <w:jc w:val="left"/>
    </w:pPr>
    <w:rPr>
      <w:rFonts w:cs="Times New Roman"/>
      <w:kern w:val="0"/>
      <w:sz w:val="18"/>
      <w:szCs w:val="18"/>
    </w:rPr>
  </w:style>
  <w:style w:type="paragraph" w:styleId="TOC2">
    <w:name w:val="toc 2"/>
    <w:basedOn w:val="Normal"/>
    <w:next w:val="Normal"/>
    <w:uiPriority w:val="39"/>
    <w:unhideWhenUsed/>
    <w:qFormat/>
    <w:pPr>
      <w:ind w:left="420" w:leftChars="200"/>
    </w:pPr>
  </w:style>
  <w:style w:type="paragraph" w:styleId="Title">
    <w:name w:val="Title"/>
    <w:basedOn w:val="Normal"/>
    <w:next w:val="Normal"/>
    <w:uiPriority w:val="10"/>
    <w:qFormat/>
    <w:pPr>
      <w:widowControl/>
      <w:spacing w:before="240" w:after="60"/>
      <w:jc w:val="center"/>
      <w:outlineLvl w:val="0"/>
    </w:pPr>
    <w:rPr>
      <w:rFonts w:ascii="Cambria" w:eastAsia="宋体" w:hAnsi="Cambria"/>
      <w:b/>
      <w:bCs/>
      <w:kern w:val="28"/>
      <w:sz w:val="32"/>
      <w:szCs w:val="32"/>
    </w:rPr>
  </w:style>
  <w:style w:type="paragraph" w:styleId="CommentSubject">
    <w:name w:val="annotation subject"/>
    <w:basedOn w:val="CommentText"/>
    <w:next w:val="CommentText"/>
    <w:link w:val="Char6"/>
    <w:uiPriority w:val="99"/>
    <w:unhideWhenUsed/>
    <w:qFormat/>
    <w:rPr>
      <w:b/>
      <w:bCs/>
    </w:rPr>
  </w:style>
  <w:style w:type="paragraph" w:styleId="BodyTextFirstIndent">
    <w:name w:val="Body Text First Indent"/>
    <w:basedOn w:val="BodyText"/>
    <w:link w:val="Char7"/>
    <w:qFormat/>
    <w:pPr>
      <w:spacing w:after="0"/>
      <w:ind w:firstLine="420" w:firstLineChars="100"/>
    </w:pPr>
    <w:rPr>
      <w:rFonts w:ascii="宋体" w:hAnsi="宋体" w:cs="宋体"/>
      <w:sz w:val="21"/>
      <w:lang w:val="zh-CN" w:bidi="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qFormat/>
    <w:rPr>
      <w:color w:val="0563C1"/>
      <w:u w:val="single"/>
    </w:rPr>
  </w:style>
  <w:style w:type="character" w:styleId="Comment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1Char">
    <w:name w:val="标题 1 Char"/>
    <w:link w:val="Heading1"/>
    <w:uiPriority w:val="9"/>
    <w:qFormat/>
    <w:rPr>
      <w:rFonts w:ascii="Calibri" w:eastAsia="仿宋_GB2312" w:hAnsi="Calibri" w:cs="黑体"/>
      <w:b/>
      <w:bCs/>
      <w:kern w:val="44"/>
      <w:sz w:val="44"/>
      <w:szCs w:val="44"/>
    </w:rPr>
  </w:style>
  <w:style w:type="character" w:customStyle="1" w:styleId="2Char">
    <w:name w:val="标题 2 Char"/>
    <w:link w:val="Heading2"/>
    <w:uiPriority w:val="9"/>
    <w:qFormat/>
    <w:rPr>
      <w:rFonts w:ascii="等线 Light" w:eastAsia="等线 Light" w:hAnsi="等线 Light" w:cs="Times New Roman"/>
      <w:b/>
      <w:bCs/>
      <w:sz w:val="32"/>
      <w:szCs w:val="32"/>
    </w:rPr>
  </w:style>
  <w:style w:type="character" w:customStyle="1" w:styleId="Char">
    <w:name w:val="批注文字 Char"/>
    <w:link w:val="CommentText"/>
    <w:uiPriority w:val="99"/>
    <w:semiHidden/>
    <w:qFormat/>
    <w:rPr>
      <w:rFonts w:ascii="Calibri" w:eastAsia="仿宋_GB2312" w:hAnsi="Calibri" w:cs="黑体"/>
      <w:sz w:val="28"/>
    </w:rPr>
  </w:style>
  <w:style w:type="character" w:customStyle="1" w:styleId="Char0">
    <w:name w:val="正文文本 Char"/>
    <w:link w:val="BodyText"/>
    <w:uiPriority w:val="99"/>
    <w:semiHidden/>
    <w:qFormat/>
    <w:rPr>
      <w:rFonts w:ascii="Calibri" w:eastAsia="仿宋_GB2312" w:hAnsi="Calibri" w:cs="黑体"/>
      <w:kern w:val="2"/>
      <w:sz w:val="28"/>
      <w:szCs w:val="22"/>
    </w:rPr>
  </w:style>
  <w:style w:type="character" w:customStyle="1" w:styleId="Char1">
    <w:name w:val="日期 Char"/>
    <w:link w:val="Date"/>
    <w:uiPriority w:val="99"/>
    <w:semiHidden/>
    <w:qFormat/>
    <w:rPr>
      <w:rFonts w:ascii="Calibri" w:eastAsia="仿宋_GB2312" w:hAnsi="Calibri" w:cs="黑体"/>
      <w:sz w:val="28"/>
    </w:rPr>
  </w:style>
  <w:style w:type="character" w:customStyle="1" w:styleId="Char2">
    <w:name w:val="批注框文本 Char"/>
    <w:link w:val="BalloonText"/>
    <w:uiPriority w:val="99"/>
    <w:semiHidden/>
    <w:qFormat/>
    <w:rPr>
      <w:rFonts w:ascii="Calibri" w:eastAsia="仿宋_GB2312" w:hAnsi="Calibri" w:cs="黑体"/>
      <w:kern w:val="2"/>
      <w:sz w:val="18"/>
      <w:szCs w:val="18"/>
    </w:rPr>
  </w:style>
  <w:style w:type="character" w:customStyle="1" w:styleId="Char3">
    <w:name w:val="页脚 Char"/>
    <w:link w:val="Footer"/>
    <w:uiPriority w:val="99"/>
    <w:qFormat/>
    <w:rPr>
      <w:sz w:val="18"/>
      <w:szCs w:val="18"/>
    </w:rPr>
  </w:style>
  <w:style w:type="character" w:customStyle="1" w:styleId="Char4">
    <w:name w:val="页眉 Char"/>
    <w:link w:val="Header"/>
    <w:uiPriority w:val="99"/>
    <w:qFormat/>
    <w:rPr>
      <w:sz w:val="18"/>
      <w:szCs w:val="18"/>
    </w:rPr>
  </w:style>
  <w:style w:type="character" w:customStyle="1" w:styleId="Char5">
    <w:name w:val="脚注文本 Char"/>
    <w:link w:val="FootnoteText"/>
    <w:uiPriority w:val="99"/>
    <w:semiHidden/>
    <w:qFormat/>
    <w:rPr>
      <w:rFonts w:ascii="Calibri" w:eastAsia="仿宋_GB2312" w:hAnsi="Calibri" w:cs="黑体"/>
      <w:sz w:val="18"/>
      <w:szCs w:val="18"/>
    </w:rPr>
  </w:style>
  <w:style w:type="character" w:customStyle="1" w:styleId="Char6">
    <w:name w:val="批注主题 Char"/>
    <w:link w:val="CommentSubject"/>
    <w:uiPriority w:val="99"/>
    <w:semiHidden/>
    <w:qFormat/>
    <w:rPr>
      <w:rFonts w:ascii="Calibri" w:eastAsia="仿宋_GB2312" w:hAnsi="Calibri" w:cs="黑体"/>
      <w:b/>
      <w:bCs/>
      <w:sz w:val="28"/>
    </w:rPr>
  </w:style>
  <w:style w:type="character" w:customStyle="1" w:styleId="Char7">
    <w:name w:val="正文首行缩进 Char"/>
    <w:link w:val="BodyTextFirstIndent"/>
    <w:qFormat/>
    <w:rPr>
      <w:rFonts w:ascii="宋体" w:eastAsia="仿宋_GB2312" w:hAnsi="宋体" w:cs="宋体"/>
      <w:kern w:val="2"/>
      <w:sz w:val="21"/>
      <w:szCs w:val="22"/>
      <w:lang w:val="zh-CN" w:bidi="zh-CN"/>
    </w:rPr>
  </w:style>
  <w:style w:type="character" w:customStyle="1" w:styleId="fontstyle01">
    <w:name w:val="fontstyle01"/>
    <w:qFormat/>
    <w:rPr>
      <w:rFonts w:ascii="仿宋_GB2312" w:eastAsia="仿宋_GB2312" w:hAnsi="仿宋_GB2312" w:cs="仿宋_GB2312"/>
      <w:color w:val="000000"/>
      <w:sz w:val="32"/>
      <w:szCs w:val="32"/>
    </w:rPr>
  </w:style>
  <w:style w:type="paragraph" w:styleId="ListParagraph">
    <w:name w:val="List Paragraph"/>
    <w:basedOn w:val="Normal"/>
    <w:uiPriority w:val="34"/>
    <w:qFormat/>
    <w:pPr>
      <w:ind w:firstLine="420"/>
    </w:pPr>
  </w:style>
  <w:style w:type="paragraph" w:customStyle="1" w:styleId="TOCHeading">
    <w:name w:val="TOC Heading"/>
    <w:basedOn w:val="Heading1"/>
    <w:next w:val="Normal"/>
    <w:uiPriority w:val="39"/>
    <w:unhideWhenUsed/>
    <w:qFormat/>
    <w:pPr>
      <w:widowControl/>
      <w:spacing w:before="240" w:after="0" w:line="259" w:lineRule="auto"/>
      <w:ind w:firstLine="0" w:firstLineChars="0"/>
      <w:jc w:val="left"/>
      <w:outlineLvl w:val="9"/>
    </w:pPr>
    <w:rPr>
      <w:rFonts w:ascii="等线 Light" w:eastAsia="等线 Light" w:hAnsi="等线 Light"/>
      <w:b w:val="0"/>
      <w:bCs w:val="0"/>
      <w:color w:val="2F5496"/>
      <w:kern w:val="0"/>
      <w:sz w:val="32"/>
      <w:szCs w:val="32"/>
    </w:rPr>
  </w:style>
  <w:style w:type="paragraph" w:customStyle="1" w:styleId="WPSOffice1">
    <w:name w:val="WPSOffice手动目录 1"/>
    <w:qFormat/>
    <w:rPr>
      <w:rFonts w:ascii="等线" w:eastAsia="等线" w:hAnsi="等线" w:cs="Times New Roman"/>
      <w:lang w:val="en-US" w:eastAsia="zh-CN" w:bidi="ar-SA"/>
    </w:rPr>
  </w:style>
  <w:style w:type="paragraph" w:customStyle="1" w:styleId="WPSOffice2">
    <w:name w:val="WPSOffice手动目录 2"/>
    <w:qFormat/>
    <w:pPr>
      <w:ind w:leftChars="200"/>
    </w:pPr>
    <w:rPr>
      <w:rFonts w:ascii="等线" w:eastAsia="等线" w:hAnsi="等线" w:cs="Times New Roman"/>
      <w:lang w:val="en-US" w:eastAsia="zh-CN" w:bidi="ar-SA"/>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4.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_rels/fontTable.xml.rels><?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 Id="rId5" Type="http://schemas.openxmlformats.org/officeDocument/2006/relationships/font" Target="fonts/font5.odttf" /><Relationship Id="rId6" Type="http://schemas.openxmlformats.org/officeDocument/2006/relationships/font" Target="fonts/font6.odtt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3</TotalTime>
  <Pages>15</Pages>
  <Words>1004</Words>
  <Characters>5729</Characters>
  <Application>Microsoft Office Word</Application>
  <DocSecurity>0</DocSecurity>
  <Lines>47</Lines>
  <Paragraphs>13</Paragraphs>
  <ScaleCrop>false</ScaleCrop>
  <Company/>
  <LinksUpToDate>false</LinksUpToDate>
  <CharactersWithSpaces>6720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宇</dc:creator>
  <cp:lastModifiedBy>lenovo</cp:lastModifiedBy>
  <cp:revision>2</cp:revision>
  <dcterms:created xsi:type="dcterms:W3CDTF">2023-03-15T08:59:00Z</dcterms:created>
  <dcterms:modified xsi:type="dcterms:W3CDTF">2023-11-16T02:47:14Z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986BECBEA76647228EE74C7B0851F833</vt:lpwstr>
  </property>
  <property fmtid="{D5CDD505-2E9C-101B-9397-08002B2CF9AE}" pid="3" name="KSOProductBuildVer">
    <vt:lpwstr>2052-11.8.2.12118</vt:lpwstr>
  </property>
</Properties>
</file>