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tbl>
      <w:tblPr>
        <w:tblW w:w="1098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1069"/>
        <w:gridCol w:w="861"/>
        <w:gridCol w:w="1070"/>
        <w:gridCol w:w="1105"/>
        <w:gridCol w:w="508"/>
        <w:gridCol w:w="629"/>
        <w:gridCol w:w="628"/>
        <w:gridCol w:w="994"/>
        <w:gridCol w:w="257"/>
        <w:gridCol w:w="773"/>
        <w:gridCol w:w="876"/>
        <w:gridCol w:w="614"/>
        <w:gridCol w:w="700"/>
        <w:gridCol w:w="896"/>
      </w:tblGrid>
      <w:tr>
        <w:tblPrEx>
          <w:tblW w:w="1098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trHeight w:val="405"/>
        </w:trPr>
        <w:tc>
          <w:tcPr>
            <w:tcW w:w="1098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2"/>
                <w:szCs w:val="32"/>
                <w:u w:val="none"/>
                <w:bdr w:val="none" w:sz="0" w:space="0" w:color="auto"/>
                <w:lang w:val="en-US" w:eastAsia="zh-CN" w:bidi="ar"/>
              </w:rPr>
              <w:t>项目支出绩效自评表</w:t>
            </w:r>
          </w:p>
        </w:tc>
      </w:tr>
      <w:tr>
        <w:tblPrEx>
          <w:tblW w:w="10980" w:type="dxa"/>
          <w:tblInd w:w="0" w:type="dxa"/>
          <w:shd w:val="clear" w:color="auto" w:fill="auto"/>
          <w:tblLayout w:type="fixed"/>
          <w:tblCellMar>
            <w:top w:w="0" w:type="dxa"/>
            <w:left w:w="0" w:type="dxa"/>
            <w:bottom w:w="0" w:type="dxa"/>
            <w:right w:w="0" w:type="dxa"/>
          </w:tblCellMar>
        </w:tblPrEx>
        <w:trPr>
          <w:trHeight w:val="270"/>
        </w:trPr>
        <w:tc>
          <w:tcPr>
            <w:tcW w:w="1098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bidi="ar"/>
              </w:rPr>
              <w:t>(2022年度)</w:t>
            </w: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9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bdr w:val="none" w:sz="0" w:space="0" w:color="auto"/>
                <w:lang w:val="en-US" w:eastAsia="zh-CN" w:bidi="ar"/>
              </w:rPr>
              <w:t>项目名称</w:t>
            </w:r>
          </w:p>
        </w:tc>
        <w:tc>
          <w:tcPr>
            <w:tcW w:w="9050"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bookmarkStart w:id="0" w:name="_GoBack"/>
            <w:r>
              <w:rPr>
                <w:rFonts w:ascii="宋体" w:eastAsia="宋体" w:hAnsi="宋体" w:cs="宋体" w:hint="eastAsia"/>
                <w:i w:val="0"/>
                <w:color w:val="000000"/>
                <w:kern w:val="0"/>
                <w:sz w:val="24"/>
                <w:szCs w:val="24"/>
                <w:u w:val="none"/>
                <w:bdr w:val="none" w:sz="0" w:space="0" w:color="auto"/>
                <w:lang w:val="en-US" w:eastAsia="zh-CN" w:bidi="ar"/>
              </w:rPr>
              <w:t>2022年中央财政农村危房改造补助资金项目</w:t>
            </w:r>
            <w:bookmarkEnd w:id="0"/>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9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主管部门</w:t>
            </w:r>
          </w:p>
        </w:tc>
        <w:tc>
          <w:tcPr>
            <w:tcW w:w="3940"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乌苏市住房和城乡建设局</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实施单位</w:t>
            </w:r>
          </w:p>
        </w:tc>
        <w:tc>
          <w:tcPr>
            <w:tcW w:w="3859"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乌苏市住房和城乡建设局</w:t>
            </w: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93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项目资金</w:t>
            </w:r>
            <w:r>
              <w:rPr>
                <w:rFonts w:ascii="宋体" w:eastAsia="宋体" w:hAnsi="宋体" w:cs="宋体" w:hint="eastAsia"/>
                <w:i w:val="0"/>
                <w:color w:val="000000"/>
                <w:kern w:val="0"/>
                <w:sz w:val="18"/>
                <w:szCs w:val="18"/>
                <w:u w:val="none"/>
                <w:bdr w:val="none" w:sz="0" w:space="0" w:color="auto"/>
                <w:lang w:val="en-US" w:eastAsia="zh-CN" w:bidi="ar"/>
              </w:rPr>
              <w:br/>
            </w:r>
            <w:r>
              <w:rPr>
                <w:rFonts w:ascii="宋体" w:eastAsia="宋体" w:hAnsi="宋体" w:cs="宋体" w:hint="eastAsia"/>
                <w:i w:val="0"/>
                <w:color w:val="000000"/>
                <w:kern w:val="0"/>
                <w:sz w:val="18"/>
                <w:szCs w:val="18"/>
                <w:u w:val="none"/>
                <w:bdr w:val="none" w:sz="0" w:space="0" w:color="auto"/>
                <w:lang w:val="en-US" w:eastAsia="zh-CN" w:bidi="ar"/>
              </w:rPr>
              <w:t>（万元）</w:t>
            </w:r>
          </w:p>
        </w:tc>
        <w:tc>
          <w:tcPr>
            <w:tcW w:w="217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年初预算数</w:t>
            </w:r>
          </w:p>
        </w:tc>
        <w:tc>
          <w:tcPr>
            <w:tcW w:w="125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全年预算数</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全年执行数</w:t>
            </w:r>
          </w:p>
        </w:tc>
        <w:tc>
          <w:tcPr>
            <w:tcW w:w="16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分值</w:t>
            </w:r>
          </w:p>
        </w:tc>
        <w:tc>
          <w:tcPr>
            <w:tcW w:w="13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执行率</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得分</w:t>
            </w: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93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217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年度资金总额</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3.70</w:t>
            </w:r>
          </w:p>
        </w:tc>
        <w:tc>
          <w:tcPr>
            <w:tcW w:w="125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3.70</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3.70</w:t>
            </w:r>
          </w:p>
        </w:tc>
        <w:tc>
          <w:tcPr>
            <w:tcW w:w="16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w:t>
            </w:r>
          </w:p>
        </w:tc>
        <w:tc>
          <w:tcPr>
            <w:tcW w:w="13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100.00%</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10.00分</w:t>
            </w: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93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217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其中：当年财政拨款</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w:t>
            </w:r>
          </w:p>
        </w:tc>
        <w:tc>
          <w:tcPr>
            <w:tcW w:w="125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w:t>
            </w:r>
          </w:p>
        </w:tc>
        <w:tc>
          <w:tcPr>
            <w:tcW w:w="16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c>
          <w:tcPr>
            <w:tcW w:w="13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93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217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 xml:space="preserve">      上年结转资金</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0</w:t>
            </w:r>
          </w:p>
        </w:tc>
        <w:tc>
          <w:tcPr>
            <w:tcW w:w="125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0</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0</w:t>
            </w:r>
          </w:p>
        </w:tc>
        <w:tc>
          <w:tcPr>
            <w:tcW w:w="16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c>
          <w:tcPr>
            <w:tcW w:w="13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93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217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 xml:space="preserve">  其他资金</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0</w:t>
            </w:r>
          </w:p>
        </w:tc>
        <w:tc>
          <w:tcPr>
            <w:tcW w:w="125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0</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0</w:t>
            </w:r>
          </w:p>
        </w:tc>
        <w:tc>
          <w:tcPr>
            <w:tcW w:w="16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c>
          <w:tcPr>
            <w:tcW w:w="13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0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年度总体目标</w:t>
            </w:r>
          </w:p>
        </w:tc>
        <w:tc>
          <w:tcPr>
            <w:tcW w:w="4801"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预期目标</w:t>
            </w:r>
          </w:p>
        </w:tc>
        <w:tc>
          <w:tcPr>
            <w:tcW w:w="51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实际完成情况</w:t>
            </w:r>
          </w:p>
        </w:tc>
      </w:tr>
      <w:tr>
        <w:tblPrEx>
          <w:tblW w:w="10980" w:type="dxa"/>
          <w:tblInd w:w="0" w:type="dxa"/>
          <w:shd w:val="clear" w:color="auto" w:fill="auto"/>
          <w:tblLayout w:type="fixed"/>
          <w:tblCellMar>
            <w:top w:w="0" w:type="dxa"/>
            <w:left w:w="0" w:type="dxa"/>
            <w:bottom w:w="0" w:type="dxa"/>
            <w:right w:w="0" w:type="dxa"/>
          </w:tblCellMar>
        </w:tblPrEx>
        <w:trPr>
          <w:trHeight w:val="1652"/>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4801"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完成符合条件对象的危房改造、抗震设防烈度7度及以上地区农房抗震改造以及其他符合政策规定的农村困难群众基本住房安全保障11.55万元支出。</w:t>
            </w:r>
          </w:p>
        </w:tc>
        <w:tc>
          <w:tcPr>
            <w:tcW w:w="51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br/>
            </w:r>
            <w:r>
              <w:rPr>
                <w:rFonts w:ascii="宋体" w:eastAsia="宋体" w:hAnsi="宋体" w:cs="宋体" w:hint="eastAsia"/>
                <w:i w:val="0"/>
                <w:color w:val="000000"/>
                <w:kern w:val="0"/>
                <w:sz w:val="18"/>
                <w:szCs w:val="18"/>
                <w:u w:val="none"/>
                <w:bdr w:val="none" w:sz="0" w:space="0" w:color="auto"/>
                <w:lang w:val="en-US" w:eastAsia="zh-CN" w:bidi="ar"/>
              </w:rPr>
              <w:t>2022年中央财政农村危房改造补助资金项目项目预算资金3.7万元，截止2022年12月31日，已经支付3.7万元，项目按照计划正常实行，已经完成了年度达成目标，按照要求发放2名安居富民补贴，达到了预期效果。该项目严格按照计划实施，并有效保障了绩效自评工作的顺利开展</w:t>
            </w: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0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一级指标</w:t>
            </w:r>
          </w:p>
        </w:tc>
        <w:tc>
          <w:tcPr>
            <w:tcW w:w="10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二级指标</w:t>
            </w:r>
          </w:p>
        </w:tc>
        <w:tc>
          <w:tcPr>
            <w:tcW w:w="224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三级指标</w:t>
            </w:r>
          </w:p>
        </w:tc>
        <w:tc>
          <w:tcPr>
            <w:tcW w:w="62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年度指标值</w:t>
            </w: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实际完成值</w:t>
            </w:r>
          </w:p>
        </w:tc>
        <w:tc>
          <w:tcPr>
            <w:tcW w:w="103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分值</w:t>
            </w:r>
          </w:p>
        </w:tc>
        <w:tc>
          <w:tcPr>
            <w:tcW w:w="149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得分</w:t>
            </w:r>
          </w:p>
        </w:tc>
        <w:tc>
          <w:tcPr>
            <w:tcW w:w="159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偏差原因分析及改进措施</w:t>
            </w: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0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2242"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62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03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49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59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0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年度绩效指标完成情况</w:t>
            </w:r>
          </w:p>
        </w:tc>
        <w:tc>
          <w:tcPr>
            <w:tcW w:w="8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产出指标</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数量指标</w:t>
            </w:r>
          </w:p>
        </w:tc>
        <w:tc>
          <w:tcPr>
            <w:tcW w:w="224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符合条件对象危房改造</w:t>
            </w: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=1个</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1个</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12</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12</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质量指标</w:t>
            </w:r>
          </w:p>
        </w:tc>
        <w:tc>
          <w:tcPr>
            <w:tcW w:w="224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改造后房屋验收合格率</w:t>
            </w: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12</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12</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时效指标</w:t>
            </w:r>
          </w:p>
        </w:tc>
        <w:tc>
          <w:tcPr>
            <w:tcW w:w="224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改造房当年开工率</w:t>
            </w: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13</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13</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成本指标</w:t>
            </w:r>
          </w:p>
        </w:tc>
        <w:tc>
          <w:tcPr>
            <w:tcW w:w="224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危房改造执行分级补助标准</w:t>
            </w: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=3.7万元</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3.7万元</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13</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13</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社会效益指标</w:t>
            </w:r>
          </w:p>
        </w:tc>
        <w:tc>
          <w:tcPr>
            <w:tcW w:w="224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改造房抗震设防烈度</w:t>
            </w: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有效提高</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达成年度指标</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15</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15</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生态效益指标</w:t>
            </w:r>
          </w:p>
        </w:tc>
        <w:tc>
          <w:tcPr>
            <w:tcW w:w="224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人畜分离卫生厕所等</w:t>
            </w: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基本保障</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达成年度指标</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15</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15</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CellMar>
            <w:top w:w="0" w:type="dxa"/>
            <w:left w:w="0" w:type="dxa"/>
            <w:bottom w:w="0" w:type="dxa"/>
            <w:right w:w="0" w:type="dxa"/>
          </w:tblCellMar>
        </w:tblPrEx>
        <w:trPr>
          <w:trHeight w:val="686"/>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满意度指标</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满意度指标</w:t>
            </w:r>
          </w:p>
        </w:tc>
        <w:tc>
          <w:tcPr>
            <w:tcW w:w="224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改造后居民满意率</w:t>
            </w: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&gt;=96%</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达成年度指标值</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6864"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总分</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100.00分</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CellMar>
            <w:top w:w="0" w:type="dxa"/>
            <w:left w:w="0" w:type="dxa"/>
            <w:bottom w:w="0" w:type="dxa"/>
            <w:right w:w="0" w:type="dxa"/>
          </w:tblCellMar>
        </w:tblPrEx>
        <w:trPr>
          <w:trHeight w:val="396"/>
        </w:trPr>
        <w:tc>
          <w:tcPr>
            <w:tcW w:w="1930" w:type="dxa"/>
            <w:gridSpan w:val="2"/>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项目负责人：</w:t>
            </w:r>
          </w:p>
        </w:tc>
        <w:tc>
          <w:tcPr>
            <w:tcW w:w="2683" w:type="dxa"/>
            <w:gridSpan w:val="3"/>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刘镇</w:t>
            </w:r>
          </w:p>
        </w:tc>
        <w:tc>
          <w:tcPr>
            <w:tcW w:w="2508" w:type="dxa"/>
            <w:gridSpan w:val="4"/>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联系电话：</w:t>
            </w:r>
          </w:p>
        </w:tc>
        <w:tc>
          <w:tcPr>
            <w:tcW w:w="3859" w:type="dxa"/>
            <w:gridSpan w:val="5"/>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0</w:t>
            </w:r>
          </w:p>
        </w:tc>
      </w:tr>
    </w:tbl>
    <w:p/>
    <w:sectPr>
      <w:pgSz w:w="11906" w:h="16838"/>
      <w:pgMar w:top="1440" w:right="1800" w:bottom="1440" w:left="567"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EB36445"/>
    <w:rsid w:val="2EB3644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2023-08-10T11:26:00Z</dcterms:created>
  <dcterms:modified xsi:type="dcterms:W3CDTF">2023-08-10T11:30:00Z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