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r>
        <w:rPr>
          <w:rFonts w:ascii="方正小标宋_GBK" w:eastAsia="方正小标宋_GBK" w:hAnsi="方正小标宋_GBK" w:hint="eastAsia"/>
          <w:color w:val="000000"/>
          <w:sz w:val="44"/>
          <w:szCs w:val="44"/>
          <w:highlight w:val="none"/>
        </w:rPr>
        <w:t>新疆塔城地区乌苏市供销合作社联合社2022年度部门决算公开说明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color w:val="000000"/>
          <w:kern w:val="0"/>
          <w:sz w:val="32"/>
          <w:szCs w:val="32"/>
          <w:highlight w:val="none"/>
        </w:rPr>
      </w:pPr>
      <w:r>
        <w:rPr>
          <w:rFonts w:ascii="方正小标宋_GBK" w:eastAsia="方正小标宋_GBK" w:hAnsi="宋体" w:hint="eastAsia"/>
          <w:color w:val="000000"/>
          <w:sz w:val="44"/>
          <w:szCs w:val="44"/>
          <w:highlight w:val="none"/>
        </w:rPr>
        <w:br w:type="page"/>
      </w:r>
      <w:r>
        <w:rPr>
          <w:rFonts w:ascii="仿宋_GB2312" w:eastAsia="仿宋_GB2312" w:hAnsi="仿宋_GB2312" w:cs="仿宋_GB2312" w:hint="eastAsia"/>
          <w:b/>
          <w:color w:val="000000"/>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r>
        <w:rPr>
          <w:rFonts w:ascii="仿宋_GB2312" w:eastAsia="仿宋_GB2312" w:hAnsi="仿宋_GB2312" w:cs="仿宋_GB2312" w:hint="eastAsia"/>
          <w:color w:val="000000"/>
          <w:sz w:val="32"/>
          <w:szCs w:val="32"/>
          <w:highlight w:val="none"/>
        </w:rPr>
        <w:fldChar w:fldCharType="begin"/>
      </w:r>
      <w:r>
        <w:rPr>
          <w:rFonts w:ascii="仿宋_GB2312" w:eastAsia="仿宋_GB2312" w:hAnsi="仿宋_GB2312" w:cs="仿宋_GB2312" w:hint="eastAsia"/>
          <w:color w:val="000000"/>
          <w:sz w:val="32"/>
          <w:szCs w:val="32"/>
          <w:highlight w:val="none"/>
        </w:rPr>
        <w:instrText>TOC \o "1-3" \n \h \u</w:instrText>
      </w:r>
      <w:r>
        <w:rPr>
          <w:rFonts w:ascii="仿宋_GB2312" w:eastAsia="仿宋_GB2312" w:hAnsi="仿宋_GB2312" w:cs="仿宋_GB2312" w:hint="eastAsia"/>
          <w:color w:val="000000"/>
          <w:sz w:val="32"/>
          <w:szCs w:val="32"/>
          <w:highlight w:val="none"/>
        </w:rPr>
        <w:fldChar w:fldCharType="separate"/>
      </w:r>
      <w:hyperlink w:anchor="_Toc32314" w:history="1">
        <w:r>
          <w:rPr>
            <w:rFonts w:ascii="仿宋_GB2312" w:eastAsia="仿宋_GB2312" w:hAnsi="仿宋_GB2312" w:cs="仿宋_GB2312" w:hint="eastAsia"/>
            <w:b/>
            <w:color w:val="000000"/>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567" w:history="1">
        <w:r>
          <w:rPr>
            <w:rFonts w:ascii="仿宋_GB2312" w:eastAsia="仿宋_GB2312" w:hAnsi="仿宋_GB2312" w:cs="仿宋_GB2312" w:hint="eastAsia"/>
            <w:color w:val="000000"/>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 w:history="1">
        <w:r>
          <w:rPr>
            <w:rFonts w:ascii="仿宋_GB2312" w:eastAsia="仿宋_GB2312" w:hAnsi="仿宋_GB2312" w:cs="仿宋_GB2312" w:hint="eastAsia"/>
            <w:color w:val="000000"/>
            <w:kern w:val="0"/>
            <w:sz w:val="32"/>
            <w:szCs w:val="32"/>
            <w:highlight w:val="none"/>
          </w:rPr>
          <w:t>二、机构设置</w:t>
        </w:r>
        <w:r>
          <w:rPr>
            <w:rFonts w:ascii="仿宋_GB2312" w:eastAsia="仿宋_GB2312" w:hAnsi="仿宋_GB2312" w:cs="仿宋_GB2312" w:hint="eastAsia"/>
            <w:color w:val="000000"/>
            <w:kern w:val="0"/>
            <w:sz w:val="32"/>
            <w:szCs w:val="32"/>
            <w:highlight w:val="none"/>
            <w:lang w:eastAsia="zh-CN"/>
          </w:rPr>
          <w:t>及人员</w:t>
        </w:r>
        <w:r>
          <w:rPr>
            <w:rFonts w:ascii="仿宋_GB2312" w:eastAsia="仿宋_GB2312" w:hAnsi="仿宋_GB2312" w:cs="仿宋_GB2312" w:hint="eastAsia"/>
            <w:color w:val="000000"/>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9374" w:history="1">
        <w:r>
          <w:rPr>
            <w:rFonts w:ascii="仿宋_GB2312" w:eastAsia="仿宋_GB2312" w:hAnsi="仿宋_GB2312" w:cs="仿宋_GB2312" w:hint="eastAsia"/>
            <w:b/>
            <w:color w:val="000000"/>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5314" w:history="1">
        <w:r>
          <w:rPr>
            <w:rFonts w:ascii="仿宋_GB2312" w:eastAsia="仿宋_GB2312" w:hAnsi="仿宋_GB2312" w:cs="仿宋_GB2312" w:hint="eastAsia"/>
            <w:color w:val="000000"/>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142" w:history="1">
        <w:r>
          <w:rPr>
            <w:rFonts w:ascii="仿宋_GB2312" w:eastAsia="仿宋_GB2312" w:hAnsi="仿宋_GB2312" w:cs="仿宋_GB2312" w:hint="eastAsia"/>
            <w:color w:val="000000"/>
            <w:kern w:val="0"/>
            <w:sz w:val="32"/>
            <w:szCs w:val="32"/>
            <w:highlight w:val="none"/>
            <w:lang w:eastAsia="zh-CN"/>
          </w:rPr>
          <w:t>二、</w:t>
        </w:r>
        <w:r>
          <w:rPr>
            <w:rFonts w:ascii="仿宋_GB2312" w:eastAsia="仿宋_GB2312" w:hAnsi="仿宋_GB2312" w:cs="仿宋_GB2312" w:hint="eastAsia"/>
            <w:color w:val="000000"/>
            <w:kern w:val="0"/>
            <w:sz w:val="32"/>
            <w:szCs w:val="32"/>
            <w:highlight w:val="none"/>
          </w:rPr>
          <w:t>收入</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3201" w:history="1">
        <w:r>
          <w:rPr>
            <w:rFonts w:ascii="仿宋_GB2312" w:eastAsia="仿宋_GB2312" w:hAnsi="仿宋_GB2312" w:cs="仿宋_GB2312" w:hint="eastAsia"/>
            <w:color w:val="000000"/>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6564" w:history="1">
        <w:r>
          <w:rPr>
            <w:rFonts w:ascii="仿宋_GB2312" w:eastAsia="仿宋_GB2312" w:hAnsi="仿宋_GB2312" w:cs="仿宋_GB2312" w:hint="eastAsia"/>
            <w:color w:val="000000"/>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0360" w:history="1">
        <w:r>
          <w:rPr>
            <w:rFonts w:ascii="仿宋_GB2312" w:eastAsia="仿宋_GB2312" w:hAnsi="仿宋_GB2312" w:cs="仿宋_GB2312" w:hint="eastAsia"/>
            <w:color w:val="000000"/>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870" w:history="1">
        <w:r>
          <w:rPr>
            <w:rFonts w:ascii="仿宋_GB2312" w:eastAsia="仿宋_GB2312" w:hAnsi="仿宋_GB2312" w:cs="仿宋_GB2312" w:hint="eastAsia"/>
            <w:color w:val="000000"/>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8" w:history="1">
        <w:r>
          <w:rPr>
            <w:rFonts w:ascii="仿宋_GB2312" w:eastAsia="仿宋_GB2312" w:hAnsi="仿宋_GB2312" w:cs="仿宋_GB2312" w:hint="eastAsia"/>
            <w:color w:val="000000"/>
            <w:kern w:val="0"/>
            <w:sz w:val="32"/>
            <w:szCs w:val="32"/>
            <w:highlight w:val="none"/>
            <w:lang w:eastAsia="zh-CN"/>
          </w:rPr>
          <w:t>七</w:t>
        </w:r>
        <w:r>
          <w:rPr>
            <w:rFonts w:ascii="仿宋_GB2312" w:eastAsia="仿宋_GB2312" w:hAnsi="仿宋_GB2312" w:cs="仿宋_GB2312" w:hint="eastAsia"/>
            <w:color w:val="000000"/>
            <w:kern w:val="0"/>
            <w:sz w:val="32"/>
            <w:szCs w:val="32"/>
            <w:highlight w:val="none"/>
          </w:rPr>
          <w:t>、</w:t>
        </w:r>
        <w:r>
          <w:rPr>
            <w:rFonts w:ascii="仿宋_GB2312" w:eastAsia="仿宋_GB2312" w:hAnsi="仿宋_GB2312" w:cs="仿宋_GB2312" w:hint="eastAsia"/>
            <w:color w:val="000000"/>
            <w:kern w:val="0"/>
            <w:sz w:val="32"/>
            <w:szCs w:val="32"/>
            <w:highlight w:val="none"/>
            <w:lang w:eastAsia="zh-CN"/>
          </w:rPr>
          <w:t>财政拨款</w:t>
        </w:r>
        <w:r>
          <w:rPr>
            <w:rFonts w:ascii="仿宋_GB2312" w:eastAsia="仿宋_GB2312" w:hAnsi="仿宋_GB2312" w:cs="仿宋_GB2312" w:hint="eastAsia"/>
            <w:color w:val="000000"/>
            <w:kern w:val="0"/>
            <w:sz w:val="32"/>
            <w:szCs w:val="32"/>
            <w:highlight w:val="none"/>
          </w:rPr>
          <w:t>“三公”经费支出</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w:t>
        </w:r>
        <w:r>
          <w:rPr>
            <w:rFonts w:ascii="仿宋_GB2312" w:eastAsia="仿宋_GB2312" w:hAnsi="仿宋_GB2312" w:cs="仿宋_GB2312" w:hint="eastAsia"/>
            <w:color w:val="000000"/>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35" w:history="1">
        <w:r>
          <w:rPr>
            <w:rFonts w:ascii="仿宋_GB2312" w:eastAsia="仿宋_GB2312" w:hAnsi="仿宋_GB2312" w:cs="仿宋_GB2312" w:hint="eastAsia"/>
            <w:color w:val="000000"/>
            <w:kern w:val="0"/>
            <w:sz w:val="32"/>
            <w:szCs w:val="32"/>
            <w:highlight w:val="none"/>
            <w:lang w:eastAsia="zh-CN"/>
          </w:rPr>
          <w:t>十</w:t>
        </w:r>
        <w:r>
          <w:rPr>
            <w:rFonts w:ascii="仿宋_GB2312" w:eastAsia="仿宋_GB2312" w:hAnsi="仿宋_GB2312" w:cs="仿宋_GB2312" w:hint="eastAsia"/>
            <w:color w:val="000000"/>
            <w:kern w:val="0"/>
            <w:sz w:val="32"/>
            <w:szCs w:val="32"/>
            <w:highlight w:val="none"/>
          </w:rPr>
          <w:t>、其他重要事项的情况</w:t>
        </w:r>
        <w:r>
          <w:rPr>
            <w:rFonts w:ascii="仿宋_GB2312" w:eastAsia="仿宋_GB2312" w:hAnsi="仿宋_GB2312" w:cs="仿宋_GB2312" w:hint="eastAsia"/>
            <w:color w:val="000000"/>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519" w:history="1">
        <w:r>
          <w:rPr>
            <w:rFonts w:ascii="仿宋_GB2312" w:eastAsia="仿宋_GB2312" w:hAnsi="仿宋_GB2312" w:cs="仿宋_GB2312" w:hint="eastAsia"/>
            <w:color w:val="000000"/>
            <w:sz w:val="32"/>
            <w:szCs w:val="32"/>
            <w:highlight w:val="none"/>
            <w:lang w:eastAsia="zh-CN"/>
          </w:rPr>
          <w:t>（一）</w:t>
        </w:r>
        <w:r>
          <w:rPr>
            <w:rFonts w:ascii="仿宋_GB2312" w:eastAsia="仿宋_GB2312" w:hAnsi="仿宋_GB2312" w:cs="仿宋_GB2312" w:hint="eastAsia"/>
            <w:color w:val="000000"/>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27" w:history="1">
        <w:r>
          <w:rPr>
            <w:rFonts w:ascii="仿宋_GB2312" w:eastAsia="仿宋_GB2312" w:hAnsi="仿宋_GB2312" w:cs="仿宋_GB2312" w:hint="eastAsia"/>
            <w:color w:val="000000"/>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391" w:history="1">
        <w:r>
          <w:rPr>
            <w:rFonts w:ascii="仿宋_GB2312" w:eastAsia="仿宋_GB2312" w:hAnsi="仿宋_GB2312" w:cs="仿宋_GB2312" w:hint="eastAsia"/>
            <w:color w:val="000000"/>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1283" w:history="1">
        <w:r>
          <w:rPr>
            <w:rFonts w:ascii="仿宋_GB2312" w:eastAsia="仿宋_GB2312" w:hAnsi="仿宋_GB2312" w:cs="仿宋_GB2312" w:hint="eastAsia"/>
            <w:color w:val="000000"/>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3250" w:history="1">
        <w:r>
          <w:rPr>
            <w:rFonts w:ascii="仿宋_GB2312" w:eastAsia="仿宋_GB2312" w:hAnsi="仿宋_GB2312" w:cs="仿宋_GB2312" w:hint="eastAsia"/>
            <w:b/>
            <w:color w:val="000000"/>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2784" w:history="1">
        <w:r>
          <w:rPr>
            <w:rFonts w:ascii="仿宋_GB2312" w:eastAsia="仿宋_GB2312" w:hAnsi="仿宋_GB2312" w:cs="仿宋_GB2312" w:hint="eastAsia"/>
            <w:b/>
            <w:color w:val="000000"/>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83" w:history="1">
        <w:r>
          <w:rPr>
            <w:rFonts w:ascii="仿宋_GB2312" w:eastAsia="仿宋_GB2312" w:hAnsi="仿宋_GB2312" w:cs="仿宋_GB2312" w:hint="eastAsia"/>
            <w:color w:val="000000"/>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4532" w:history="1">
        <w:r>
          <w:rPr>
            <w:rFonts w:ascii="仿宋_GB2312" w:eastAsia="仿宋_GB2312" w:hAnsi="仿宋_GB2312" w:cs="仿宋_GB2312" w:hint="eastAsia"/>
            <w:color w:val="000000"/>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2434" w:history="1">
        <w:r>
          <w:rPr>
            <w:rFonts w:ascii="仿宋_GB2312" w:eastAsia="仿宋_GB2312" w:hAnsi="仿宋_GB2312" w:cs="仿宋_GB2312" w:hint="eastAsia"/>
            <w:color w:val="000000"/>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8786" w:history="1">
        <w:r>
          <w:rPr>
            <w:rFonts w:ascii="仿宋_GB2312" w:eastAsia="仿宋_GB2312" w:hAnsi="仿宋_GB2312" w:cs="仿宋_GB2312" w:hint="eastAsia"/>
            <w:color w:val="000000"/>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869" w:history="1">
        <w:r>
          <w:rPr>
            <w:rFonts w:ascii="仿宋_GB2312" w:eastAsia="仿宋_GB2312" w:hAnsi="仿宋_GB2312" w:cs="仿宋_GB2312" w:hint="eastAsia"/>
            <w:color w:val="000000"/>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884" w:history="1">
        <w:r>
          <w:rPr>
            <w:rFonts w:ascii="仿宋_GB2312" w:eastAsia="仿宋_GB2312" w:hAnsi="仿宋_GB2312" w:cs="仿宋_GB2312" w:hint="eastAsia"/>
            <w:color w:val="000000"/>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9106" w:history="1">
        <w:r>
          <w:rPr>
            <w:rFonts w:ascii="仿宋_GB2312" w:eastAsia="仿宋_GB2312" w:hAnsi="仿宋_GB2312" w:cs="仿宋_GB2312" w:hint="eastAsia"/>
            <w:color w:val="000000"/>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color w:val="000000"/>
          <w:highlight w:val="none"/>
        </w:rPr>
      </w:pPr>
      <w:r>
        <w:rPr>
          <w:rFonts w:ascii="仿宋_GB2312" w:eastAsia="仿宋_GB2312" w:hAnsi="仿宋_GB2312" w:cs="仿宋_GB2312" w:hint="eastAsia"/>
          <w:color w:val="000000"/>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color w:val="000000"/>
          <w:sz w:val="32"/>
          <w:szCs w:val="32"/>
          <w:highlight w:val="none"/>
        </w:rPr>
      </w:pPr>
      <w:r>
        <w:rPr>
          <w:rFonts w:ascii="仿宋_GB2312" w:eastAsia="仿宋_GB2312" w:hint="eastAsia"/>
          <w:color w:val="000000"/>
          <w:sz w:val="32"/>
          <w:szCs w:val="32"/>
          <w:highlight w:val="none"/>
        </w:rPr>
        <w:br w:type="page"/>
      </w:r>
      <w:bookmarkStart w:id="0" w:name="_Toc24028"/>
      <w:bookmarkStart w:id="1" w:name="_Toc32314"/>
      <w:r>
        <w:rPr>
          <w:rFonts w:ascii="黑体" w:eastAsia="黑体" w:hAnsi="黑体" w:hint="eastAsia"/>
          <w:color w:val="000000"/>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color w:val="000000"/>
          <w:kern w:val="0"/>
          <w:sz w:val="32"/>
          <w:szCs w:val="32"/>
          <w:highlight w:val="none"/>
        </w:rPr>
      </w:pPr>
      <w:bookmarkStart w:id="2" w:name="_Toc30567"/>
      <w:bookmarkStart w:id="3" w:name="_Toc30738"/>
      <w:r>
        <w:rPr>
          <w:rFonts w:ascii="黑体" w:eastAsia="黑体" w:hAnsi="黑体" w:cs="宋体" w:hint="eastAsia"/>
          <w:color w:val="000000"/>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 xml:space="preserve">1、贯彻落实上级党委政府有关农村工作和社会发展的方针、政策；研究制定全市供销合作社和农村合作经济组织的发展战略和发展规划，指导全市供销合作社的改革与发展。 </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2、按照市人民政府授权，负责对重要农业生产资料、农副产品、再生资源、食盐、日用消费品等商品的组织协调、经营管理。</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xml:space="preserve">　　3、推进新农村现代流通网络工程建设，构建和完善农业生产资料、日用消费品、农副产品（棉花）、盐产品营销、再生资源回收利用经营服务体系，指导推进连锁经营、物流配送、电子商务、农家超市、农村便民店等建设，改造提升传统经营网点等。 </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4、坚持为农服务宗旨，推进农村合作经济组织发展，引领、创办各类农民专业合作社，构建农村合作经济组织体系，提升服务“三农”的质量和水平。</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5、对本级社有资产行使出资人代表和管理职能，监督社有资产保值增值；对有关社有资产载体企业实施监督审计、监管，维护全体社员、职工的合法权益；按政府委托依法管理社属企业，批准企业资本公积开支和处置社有资产。</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6、围绕建立和完善农业社会化服务体系，做好为农业、农村、农民服务的工作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7、按照党和政府要求进行社会建设、政治建设、文化建设、精神文明建设，履行行业义务。</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8、负责承办市委、市政府及上级供销社交办的其他工作。</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 w:name="_Toc31238"/>
      <w:bookmarkStart w:id="5" w:name="_Toc2151"/>
      <w:r>
        <w:rPr>
          <w:rFonts w:ascii="黑体" w:eastAsia="黑体" w:hAnsi="黑体" w:cs="宋体" w:hint="eastAsia"/>
          <w:color w:val="000000"/>
          <w:kern w:val="0"/>
          <w:sz w:val="32"/>
          <w:szCs w:val="32"/>
          <w:highlight w:val="none"/>
        </w:rPr>
        <w:t>二、机构设置</w:t>
      </w:r>
      <w:r>
        <w:rPr>
          <w:rFonts w:ascii="黑体" w:eastAsia="黑体" w:hAnsi="黑体" w:cs="宋体" w:hint="eastAsia"/>
          <w:color w:val="000000"/>
          <w:kern w:val="0"/>
          <w:sz w:val="32"/>
          <w:szCs w:val="32"/>
          <w:highlight w:val="none"/>
          <w:lang w:eastAsia="zh-CN"/>
        </w:rPr>
        <w:t>及</w:t>
      </w:r>
      <w:bookmarkEnd w:id="4"/>
      <w:r>
        <w:rPr>
          <w:rFonts w:ascii="黑体" w:eastAsia="黑体" w:hAnsi="黑体" w:cs="宋体" w:hint="eastAsia"/>
          <w:color w:val="000000"/>
          <w:kern w:val="0"/>
          <w:sz w:val="32"/>
          <w:szCs w:val="32"/>
          <w:highlight w:val="none"/>
          <w:lang w:eastAsia="zh-CN"/>
        </w:rPr>
        <w:t>人员</w:t>
      </w:r>
      <w:r>
        <w:rPr>
          <w:rFonts w:ascii="黑体" w:eastAsia="黑体" w:hAnsi="黑体" w:cs="宋体" w:hint="eastAsia"/>
          <w:color w:val="000000"/>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新疆塔城地区乌苏市供销合作社联合社2022年度，实有人数8人，其中：在职人员8人，离休人员0人，退休人员0人。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从部门决算单位构成看，新疆塔城地区乌苏市供销合作社联合社部门决算包括：新疆塔城地区乌苏市供销合作社联合社决算。单位无下属预算单位，下设1个处室，分别是：办公室。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6" w:name="_Toc3092"/>
      <w:bookmarkStart w:id="7" w:name="_Toc2937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8" w:name="_Toc25314"/>
      <w:bookmarkStart w:id="9" w:name="_Toc12566"/>
      <w:r>
        <w:rPr>
          <w:rFonts w:ascii="黑体" w:eastAsia="黑体" w:hAnsi="黑体" w:cs="宋体" w:hint="eastAsia"/>
          <w:color w:val="000000"/>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收入总计127.40万元</w:t>
      </w:r>
      <w:r>
        <w:rPr>
          <w:rFonts w:ascii="仿宋_GB2312" w:eastAsia="仿宋_GB2312" w:hint="eastAsia"/>
          <w:color w:val="000000"/>
          <w:sz w:val="32"/>
          <w:szCs w:val="32"/>
          <w:highlight w:val="none"/>
          <w:lang w:eastAsia="zh-CN"/>
        </w:rPr>
        <w:t>，其中：本年收入合计127.40万元，使用非财政拨款结余0.00万元，年初结转和结余0.00万元。</w:t>
      </w:r>
      <w:r>
        <w:rPr>
          <w:rFonts w:ascii="仿宋_GB2312" w:eastAsia="仿宋_GB2312" w:hint="eastAsia"/>
          <w:color w:val="000000"/>
          <w:sz w:val="32"/>
          <w:szCs w:val="32"/>
          <w:highlight w:val="none"/>
        </w:rPr>
        <w:t>收入总计与上年相比</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本年支出总计127.40万元</w:t>
      </w:r>
      <w:r>
        <w:rPr>
          <w:rFonts w:ascii="仿宋_GB2312" w:eastAsia="仿宋_GB2312" w:hint="eastAsia"/>
          <w:color w:val="000000"/>
          <w:sz w:val="32"/>
          <w:szCs w:val="32"/>
          <w:highlight w:val="none"/>
          <w:lang w:eastAsia="zh-CN"/>
        </w:rPr>
        <w:t>，其中：本年支出合计127.40万元，结余分配0.00万元，年末结转和结余0.00万元。</w:t>
      </w:r>
      <w:r>
        <w:rPr>
          <w:rFonts w:ascii="仿宋_GB2312" w:eastAsia="仿宋_GB2312" w:hint="eastAsia"/>
          <w:color w:val="000000"/>
          <w:sz w:val="32"/>
          <w:szCs w:val="32"/>
          <w:highlight w:val="none"/>
        </w:rPr>
        <w:t>支出总计与上年相比</w:t>
      </w:r>
      <w:r>
        <w:rPr>
          <w:rFonts w:ascii="仿宋_GB2312" w:eastAsia="仿宋_GB2312" w:hint="eastAsia"/>
          <w:color w:val="000000"/>
          <w:sz w:val="32"/>
          <w:szCs w:val="32"/>
          <w:highlight w:val="none"/>
          <w:lang w:eastAsia="zh-CN"/>
        </w:rPr>
        <w:t>，增加46.60万元，增长57.67%，主要原因是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10" w:name="_Toc12142"/>
      <w:bookmarkStart w:id="11" w:name="_Toc1979"/>
      <w:r>
        <w:rPr>
          <w:rFonts w:ascii="黑体" w:eastAsia="黑体" w:hAnsi="黑体" w:cs="宋体" w:hint="eastAsia"/>
          <w:color w:val="000000"/>
          <w:kern w:val="0"/>
          <w:sz w:val="32"/>
          <w:szCs w:val="32"/>
          <w:highlight w:val="none"/>
          <w:lang w:eastAsia="zh-CN"/>
        </w:rPr>
        <w:t>二、</w:t>
      </w:r>
      <w:r>
        <w:rPr>
          <w:rFonts w:ascii="黑体" w:eastAsia="黑体" w:hAnsi="黑体" w:cs="宋体" w:hint="eastAsia"/>
          <w:color w:val="000000"/>
          <w:kern w:val="0"/>
          <w:sz w:val="32"/>
          <w:szCs w:val="32"/>
          <w:highlight w:val="none"/>
        </w:rPr>
        <w:t>收入</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收入127.40万元，其中：财政拨款收入127.40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2" w:name="_Toc13201"/>
      <w:bookmarkStart w:id="13" w:name="_Toc27961"/>
      <w:r>
        <w:rPr>
          <w:rFonts w:ascii="黑体" w:eastAsia="黑体" w:hAnsi="黑体" w:cs="宋体" w:hint="eastAsia"/>
          <w:color w:val="000000"/>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本年支出127.40万元，其中：基本支出127.40万元，占100.00%；项目支出0.00万元，占0.00%；上缴上级支出0.00万元，占0.00%；经营支出0.00万元，占0.00%；对附属单位补助支出0.00万元，占0.00%。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4" w:name="_Toc4393"/>
      <w:bookmarkStart w:id="15" w:name="_Toc26564"/>
      <w:r>
        <w:rPr>
          <w:rFonts w:ascii="黑体" w:eastAsia="黑体" w:hAnsi="黑体" w:cs="宋体" w:hint="eastAsia"/>
          <w:color w:val="000000"/>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财政拨款收入总计127.40万元，其中：年初财政拨款结转和结余0.00万元，财政拨款本年收入127.40万元。财政拨款收入总计与上年相比，增加46.60万元，增长57.67%，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财政拨款支出总计127.40万元，其中：年末财政拨款结转和结余0.00万元，财政拨款本年支出127.40万元。财政拨款支出总计与上年相比，增加46.60万元，增长57.67%，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bookmarkStart w:id="16" w:name="_GoBack"/>
      <w:bookmarkEnd w:id="16"/>
      <w:r>
        <w:rPr>
          <w:rFonts w:ascii="仿宋_GB2312" w:eastAsia="仿宋_GB2312" w:hint="eastAsia"/>
          <w:color w:val="000000"/>
          <w:sz w:val="32"/>
          <w:szCs w:val="32"/>
          <w:highlight w:val="none"/>
        </w:rPr>
        <w:t>与年初预算数相比情况：财政拨款收入总计年初预算数69.45万元，决算数127.40万元，预决算差异率83.44%，</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1.人员工资调增2.本年发放两年奖励性工资，年终发放绩效工资。财政拨款支出总计年初预算数69.45万元，决算数127.40万元，预决算差异率83.44%，</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7" w:name="_Toc13833"/>
      <w:bookmarkStart w:id="18" w:name="_Toc20360"/>
      <w:r>
        <w:rPr>
          <w:rFonts w:ascii="黑体" w:eastAsia="黑体" w:hAnsi="黑体" w:cs="宋体" w:hint="eastAsia"/>
          <w:color w:val="000000"/>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一般公共预算财政拨款支出127.40万元，占本年支出合计的100.00%，与上年相比，增加46.60万元，增长57.67%，主要原因是：1.人员工资调增2.本年发放两年奖励性工资，年终发放绩效工资。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1.社会保障和就业支出（类）17.89万元，占14.05%。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2.卫生健康支出（类）15.42万元，占12.10%。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3.商业服务业等支出（类）86.58万元，占67.96%。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4.住房保障支出（类）7.51万元，占5.89%。</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社会保障和就业支出（类）行政事业单位养老支出（款）事业单位离退休（项）：支出决算数为8.81万元，比上年决算增加8.81万元，增长100%，主要原因是：上年退休费支出在2010401乌苏市供销合作社联合社发展行政运行列支，本年单独设立了2080501行政单位离退休支出类款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社会保障和就业支出（类）行政事业单位养老支出（款）机关事业单位基本养老保险缴费支出（项）：支出决算数为9.07万元，比上年决算增加2.17万元，增长31.26%，主要原因是：机关事业单位基本养老保险缴费基数上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3.卫生健康支出（类）行政事业单位医疗（款）事业单位医疗（项）：支出决算数为15.42万元，比上年决算减少1.50万元，下降8.87%，主要原因是：事业单位医疗基数调减。</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4.商业服务业等支出（类）商业流通事务（款）行政运行（项）：支出决算数为86.58万元，比上年决算增加37.34万元，增长75.83%，主要原因是：人员工资调增。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5.住房保障支出（类）住房改革支出（款）住房公积金（项）：支出决算数为7.51万元，比上年决算增加2.57万元，增长52.02%，主要原因是：住房公积金基数调增。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6、社会保障和就业支出（类）行政事业单位养老支出（款）机关事业单位职业年金缴费支出（项）：支出决算数为0.00万元，比上年决算减少2.80万元，下降100%，主要原因是：科目调整，本年不再使用此科目。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9" w:name="_Toc30870"/>
      <w:bookmarkStart w:id="20" w:name="_Toc11146"/>
      <w:r>
        <w:rPr>
          <w:rFonts w:ascii="黑体" w:eastAsia="黑体" w:hAnsi="黑体" w:cs="宋体" w:hint="eastAsia"/>
          <w:color w:val="000000"/>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2022年度一般公共预算财政拨款基本支出127.40万元，其中：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人员经费126.7</w:t>
      </w:r>
      <w:r>
        <w:rPr>
          <w:rFonts w:ascii="仿宋_GB2312" w:eastAsia="仿宋_GB2312" w:hint="eastAsia"/>
          <w:color w:val="000000"/>
          <w:sz w:val="32"/>
          <w:szCs w:val="32"/>
          <w:highlight w:val="none"/>
          <w:lang w:val="en-US" w:eastAsia="zh-CN"/>
        </w:rPr>
        <w:t>8</w:t>
      </w:r>
      <w:r>
        <w:rPr>
          <w:rFonts w:ascii="仿宋_GB2312" w:eastAsia="仿宋_GB2312" w:hint="eastAsia"/>
          <w:color w:val="000000"/>
          <w:sz w:val="32"/>
          <w:szCs w:val="32"/>
          <w:highlight w:val="none"/>
        </w:rPr>
        <w:t>万元，包括：基本工资、津贴补贴、奖金、绩效工资、机关事业单位基本养老保险缴费、职工基本医疗保险缴费、其他社会保障缴费、住房公积金、抚恤金。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公用经费0.62万元，包括：邮电费。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1" w:name="_Toc7190"/>
      <w:bookmarkStart w:id="22" w:name="_Toc21518"/>
      <w:r>
        <w:rPr>
          <w:rFonts w:ascii="黑体" w:eastAsia="黑体" w:hAnsi="黑体" w:cs="宋体" w:hint="eastAsia"/>
          <w:color w:val="000000"/>
          <w:kern w:val="0"/>
          <w:sz w:val="32"/>
          <w:szCs w:val="32"/>
          <w:highlight w:val="none"/>
          <w:lang w:eastAsia="zh-CN"/>
        </w:rPr>
        <w:t>七</w:t>
      </w:r>
      <w:r>
        <w:rPr>
          <w:rFonts w:ascii="黑体" w:eastAsia="黑体" w:hAnsi="黑体" w:cs="宋体" w:hint="eastAsia"/>
          <w:color w:val="000000"/>
          <w:kern w:val="0"/>
          <w:sz w:val="32"/>
          <w:szCs w:val="32"/>
          <w:highlight w:val="none"/>
        </w:rPr>
        <w:t>、</w:t>
      </w:r>
      <w:r>
        <w:rPr>
          <w:rFonts w:ascii="黑体" w:eastAsia="黑体" w:hAnsi="黑体" w:cs="宋体" w:hint="eastAsia"/>
          <w:color w:val="000000"/>
          <w:kern w:val="0"/>
          <w:sz w:val="32"/>
          <w:szCs w:val="32"/>
          <w:highlight w:val="none"/>
          <w:lang w:eastAsia="zh-CN"/>
        </w:rPr>
        <w:t>财政拨款</w:t>
      </w:r>
      <w:r>
        <w:rPr>
          <w:rFonts w:ascii="黑体" w:eastAsia="黑体" w:hAnsi="黑体" w:cs="宋体" w:hint="eastAsia"/>
          <w:color w:val="000000"/>
          <w:kern w:val="0"/>
          <w:sz w:val="32"/>
          <w:szCs w:val="32"/>
          <w:highlight w:val="none"/>
        </w:rPr>
        <w:t>“三公”经费支出</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w:t>
      </w:r>
      <w:r>
        <w:rPr>
          <w:rFonts w:ascii="黑体" w:eastAsia="黑体" w:hAnsi="黑体" w:cs="宋体" w:hint="eastAsia"/>
          <w:color w:val="000000"/>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财政拨款“三公”经费支出决算0.00万元，比上年增加0.00万元，增长0.00%，主要原因是：本单位无“三公”经费</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与全年预算数相比情况：“三公”经费支出全年预算数0.00万元，决算数0.00万元，预决算差异率0.00%，主要原因是：我单位未安排</w:t>
      </w:r>
      <w:r>
        <w:rPr>
          <w:rFonts w:ascii="仿宋_GB2312" w:eastAsia="仿宋_GB2312" w:hint="eastAsia"/>
          <w:color w:val="000000"/>
          <w:sz w:val="32"/>
          <w:szCs w:val="32"/>
          <w:highlight w:val="none"/>
          <w:lang w:val="en-US" w:eastAsia="zh-CN"/>
        </w:rPr>
        <w:t>财政拨款</w:t>
      </w:r>
      <w:r>
        <w:rPr>
          <w:rFonts w:ascii="仿宋_GB2312" w:eastAsia="仿宋_GB2312" w:hint="eastAsia"/>
          <w:color w:val="000000"/>
          <w:sz w:val="32"/>
          <w:szCs w:val="32"/>
          <w:highlight w:val="none"/>
        </w:rPr>
        <w:t>“三公”经费支出，预决算无差异。</w:t>
      </w:r>
      <w:r>
        <w:rPr>
          <w:rFonts w:ascii="仿宋_GB2312" w:eastAsia="仿宋_GB2312" w:hint="eastAsia"/>
          <w:color w:val="000000"/>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color w:val="000000"/>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color w:val="000000"/>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color w:val="000000"/>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3" w:name="_Toc5810"/>
      <w:bookmarkStart w:id="24" w:name="_Toc7927"/>
      <w:r>
        <w:rPr>
          <w:rFonts w:ascii="黑体" w:eastAsia="黑体" w:hAnsi="黑体" w:cs="宋体" w:hint="eastAsia"/>
          <w:color w:val="000000"/>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我单位本年度无政府性基金预算财政拨款收入、支出及结转和结余，</w:t>
      </w:r>
      <w:r>
        <w:rPr>
          <w:rFonts w:ascii="仿宋_GB2312" w:eastAsia="仿宋_GB2312" w:hint="eastAsia"/>
          <w:color w:val="000000"/>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我单位本年度无国有资本经营预算财政拨款收入、支出及结转和结余，</w:t>
      </w:r>
      <w:r>
        <w:rPr>
          <w:rFonts w:ascii="仿宋_GB2312" w:eastAsia="仿宋_GB2312" w:hint="eastAsia"/>
          <w:color w:val="000000"/>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5" w:name="_Toc1235"/>
      <w:bookmarkStart w:id="26" w:name="_Toc7314"/>
      <w:r>
        <w:rPr>
          <w:rFonts w:ascii="黑体" w:eastAsia="黑体" w:hAnsi="黑体" w:cs="宋体" w:hint="eastAsia"/>
          <w:color w:val="000000"/>
          <w:kern w:val="0"/>
          <w:sz w:val="32"/>
          <w:szCs w:val="32"/>
          <w:highlight w:val="none"/>
          <w:lang w:eastAsia="zh-CN"/>
        </w:rPr>
        <w:t>十</w:t>
      </w:r>
      <w:r>
        <w:rPr>
          <w:rFonts w:ascii="黑体" w:eastAsia="黑体" w:hAnsi="黑体" w:cs="宋体" w:hint="eastAsia"/>
          <w:color w:val="000000"/>
          <w:kern w:val="0"/>
          <w:sz w:val="32"/>
          <w:szCs w:val="32"/>
          <w:highlight w:val="none"/>
        </w:rPr>
        <w:t>、其他重要事项的情况</w:t>
      </w:r>
      <w:r>
        <w:rPr>
          <w:rFonts w:ascii="黑体" w:eastAsia="黑体" w:hAnsi="黑体" w:cs="宋体" w:hint="eastAsia"/>
          <w:color w:val="000000"/>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rPr>
      </w:pPr>
      <w:bookmarkStart w:id="27" w:name="_Toc14519"/>
      <w:bookmarkStart w:id="28" w:name="_Toc13105"/>
      <w:r>
        <w:rPr>
          <w:rFonts w:ascii="黑体" w:eastAsia="黑体" w:hAnsi="黑体" w:hint="eastAsia"/>
          <w:color w:val="000000"/>
          <w:sz w:val="32"/>
          <w:szCs w:val="32"/>
          <w:highlight w:val="none"/>
          <w:lang w:eastAsia="zh-CN"/>
        </w:rPr>
        <w:t>（一）</w:t>
      </w:r>
      <w:r>
        <w:rPr>
          <w:rFonts w:ascii="黑体" w:eastAsia="黑体" w:hAnsi="黑体" w:hint="eastAsia"/>
          <w:color w:val="000000"/>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color w:val="000000"/>
          <w:sz w:val="32"/>
          <w:szCs w:val="32"/>
          <w:highlight w:val="none"/>
          <w:lang w:val="en-US" w:eastAsia="zh-CN"/>
        </w:rPr>
      </w:pPr>
      <w:r>
        <w:rPr>
          <w:rFonts w:ascii="仿宋_GB2312" w:eastAsia="仿宋_GB2312" w:hint="eastAsia"/>
          <w:color w:val="000000"/>
          <w:sz w:val="32"/>
          <w:szCs w:val="32"/>
          <w:highlight w:val="none"/>
        </w:rPr>
        <w:t>2022年度新疆塔城地区乌苏市供销合作社联合社（事业单位）公用经费0.62万元，比上年</w:t>
      </w:r>
      <w:r>
        <w:rPr>
          <w:rFonts w:ascii="仿宋_GB2312" w:eastAsia="仿宋_GB2312" w:hint="eastAsia"/>
          <w:color w:val="000000"/>
          <w:sz w:val="32"/>
          <w:szCs w:val="32"/>
          <w:highlight w:val="none"/>
          <w:lang w:eastAsia="zh-CN"/>
        </w:rPr>
        <w:t>增加</w:t>
      </w:r>
      <w:r>
        <w:rPr>
          <w:rFonts w:ascii="仿宋_GB2312" w:eastAsia="仿宋_GB2312" w:hint="eastAsia"/>
          <w:color w:val="000000"/>
          <w:sz w:val="32"/>
          <w:szCs w:val="32"/>
          <w:highlight w:val="none"/>
          <w:lang w:val="en-US" w:eastAsia="zh-CN"/>
        </w:rPr>
        <w:t>0.62</w:t>
      </w:r>
      <w:r>
        <w:rPr>
          <w:rFonts w:ascii="仿宋_GB2312" w:eastAsia="仿宋_GB2312" w:hint="eastAsia"/>
          <w:color w:val="000000"/>
          <w:sz w:val="32"/>
          <w:szCs w:val="32"/>
          <w:highlight w:val="none"/>
        </w:rPr>
        <w:t>万元</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主要原因是：</w:t>
      </w:r>
      <w:r>
        <w:rPr>
          <w:rFonts w:ascii="仿宋_GB2312" w:eastAsia="仿宋_GB2312" w:hint="eastAsia"/>
          <w:color w:val="000000"/>
          <w:sz w:val="32"/>
          <w:szCs w:val="32"/>
          <w:highlight w:val="none"/>
          <w:lang w:val="en-US" w:eastAsia="zh-CN"/>
        </w:rPr>
        <w:t>增加了经费支出邮电费。</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29" w:name="_Toc26704"/>
      <w:bookmarkStart w:id="30" w:name="_Toc227"/>
      <w:r>
        <w:rPr>
          <w:rFonts w:ascii="黑体" w:eastAsia="黑体" w:hAnsi="黑体" w:hint="eastAsia"/>
          <w:color w:val="000000"/>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rPr>
        <w:t>授予中小企业合同金额</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lang w:val="en-US" w:eastAsia="zh-CN"/>
        </w:rPr>
        <w:t>%</w:t>
      </w:r>
      <w:r>
        <w:rPr>
          <w:rFonts w:ascii="仿宋_GB2312" w:eastAsia="仿宋_GB2312" w:hint="eastAsia"/>
          <w:color w:val="000000"/>
          <w:sz w:val="32"/>
          <w:szCs w:val="32"/>
          <w:highlight w:val="none"/>
        </w:rPr>
        <w:t>，其中：授予小微企业合同金额</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31" w:name="_Toc8391"/>
      <w:bookmarkStart w:id="32" w:name="_Toc4591"/>
      <w:r>
        <w:rPr>
          <w:rFonts w:ascii="黑体" w:eastAsia="黑体" w:hAnsi="黑体" w:hint="eastAsia"/>
          <w:color w:val="000000"/>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截止2022年12月31日，固定资产原值0.00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本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33" w:name="_Toc435"/>
      <w:bookmarkStart w:id="34" w:name="_Toc11283"/>
      <w:r>
        <w:rPr>
          <w:rFonts w:ascii="黑体" w:eastAsia="黑体" w:hAnsi="黑体" w:cs="宋体" w:hint="eastAsia"/>
          <w:color w:val="000000"/>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5" w:name="_Toc3250"/>
      <w:bookmarkStart w:id="36" w:name="_Toc2414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年初</w:t>
      </w:r>
      <w:r>
        <w:rPr>
          <w:rFonts w:ascii="仿宋_GB2312" w:eastAsia="仿宋_GB2312" w:hint="eastAsia"/>
          <w:color w:val="000000"/>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7" w:name="_Toc28903"/>
      <w:bookmarkStart w:id="38" w:name="_Toc2278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39" w:name="_Toc6062"/>
      <w:bookmarkStart w:id="40" w:name="_Toc2183"/>
      <w:r>
        <w:rPr>
          <w:rFonts w:ascii="黑体" w:eastAsia="黑体" w:hAnsi="黑体" w:cs="宋体" w:hint="eastAsia"/>
          <w:color w:val="000000"/>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1" w:name="_Toc24532"/>
      <w:bookmarkStart w:id="42" w:name="_Toc30364"/>
      <w:r>
        <w:rPr>
          <w:rFonts w:ascii="黑体" w:eastAsia="黑体" w:hAnsi="黑体" w:cs="宋体" w:hint="eastAsia"/>
          <w:color w:val="000000"/>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3" w:name="_Toc21304"/>
      <w:bookmarkStart w:id="44" w:name="_Toc32434"/>
      <w:r>
        <w:rPr>
          <w:rFonts w:ascii="黑体" w:eastAsia="黑体" w:hAnsi="黑体" w:cs="宋体" w:hint="eastAsia"/>
          <w:color w:val="000000"/>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5" w:name="_Toc14238"/>
      <w:bookmarkStart w:id="46" w:name="_Toc28786"/>
      <w:r>
        <w:rPr>
          <w:rFonts w:ascii="黑体" w:eastAsia="黑体" w:hAnsi="黑体" w:cs="宋体" w:hint="eastAsia"/>
          <w:color w:val="000000"/>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7" w:name="_Toc10347"/>
      <w:bookmarkStart w:id="48" w:name="_Toc14869"/>
      <w:r>
        <w:rPr>
          <w:rFonts w:ascii="黑体" w:eastAsia="黑体" w:hAnsi="黑体" w:cs="宋体" w:hint="eastAsia"/>
          <w:color w:val="000000"/>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9" w:name="_Toc8884"/>
      <w:bookmarkStart w:id="50" w:name="_Toc5626"/>
      <w:r>
        <w:rPr>
          <w:rFonts w:ascii="黑体" w:eastAsia="黑体" w:hAnsi="黑体" w:cs="宋体" w:hint="eastAsia"/>
          <w:color w:val="000000"/>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51" w:name="_Toc29106"/>
      <w:bookmarkStart w:id="52" w:name="_Toc32663"/>
      <w:r>
        <w:rPr>
          <w:rFonts w:ascii="黑体" w:eastAsia="黑体" w:hAnsi="黑体" w:cs="宋体" w:hint="eastAsia"/>
          <w:color w:val="000000"/>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53" w:name="_Toc5453"/>
      <w:bookmarkStart w:id="54" w:name="_Toc7643"/>
      <w:r>
        <w:rPr>
          <w:rFonts w:ascii="黑体" w:eastAsia="黑体" w:hAnsi="黑体" w:cs="宋体" w:hint="eastAsia"/>
          <w:color w:val="000000"/>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0815A46"/>
    <w:rsid w:val="3D960F5C"/>
    <w:rsid w:val="3FEB437C"/>
    <w:rsid w:val="463741DF"/>
    <w:rsid w:val="6D5D71E6"/>
    <w:rsid w:val="6F6663CB"/>
    <w:rsid w:val="755130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pPr>
      <w:jc w:val="left"/>
    </w:pPr>
  </w:style>
  <w:style w:type="paragraph" w:styleId="TOC3">
    <w:name w:val="toc 3"/>
    <w:basedOn w:val="Normal"/>
    <w:next w:val="Normal"/>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sz w:val="20"/>
      <w:szCs w:val="20"/>
    </w:rPr>
  </w:style>
  <w:style w:type="paragraph" w:customStyle="1" w:styleId="WPSOffice2">
    <w:name w:val="WPSOffice手动目录 2"/>
    <w:qFormat/>
    <w:pPr>
      <w:ind w:left="200" w:leftChars="200"/>
    </w:pPr>
    <w:rPr>
      <w:rFonts w:ascii="Times New Roman" w:eastAsia="宋体" w:hAnsi="Times New Roman" w:cs="Times New Roman"/>
      <w:sz w:val="20"/>
      <w:szCs w:val="20"/>
    </w:rPr>
  </w:style>
  <w:style w:type="paragraph" w:customStyle="1" w:styleId="WPSOffice1">
    <w:name w:val="WPSOffice手动目录 1"/>
    <w:qFormat/>
    <w:pPr>
      <w:ind w:leftChars="0"/>
    </w:pPr>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lenovo</cp:lastModifiedBy>
  <cp:revision>0</cp:revision>
  <dcterms:created xsi:type="dcterms:W3CDTF">2014-10-29T12:08:00Z</dcterms:created>
  <dcterms:modified xsi:type="dcterms:W3CDTF">2023-02-13T17:39:58Z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4FB7206D0FA34C7DA08F3C6B9EFC0142</vt:lpwstr>
  </property>
  <property fmtid="{D5CDD505-2E9C-101B-9397-08002B2CF9AE}" pid="3" name="KSOProductBuildVer">
    <vt:lpwstr>2052-11.8.2.8555</vt:lpwstr>
  </property>
</Properties>
</file>