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r>
        <w:rPr>
          <w:rFonts w:ascii="方正小标宋_GBK" w:eastAsia="方正小标宋_GBK" w:hAnsi="方正小标宋_GBK" w:hint="eastAsia"/>
          <w:color w:val="000000"/>
          <w:sz w:val="44"/>
          <w:szCs w:val="44"/>
          <w:highlight w:val="none"/>
        </w:rPr>
        <w:t>新疆塔城地区乌苏市应急管理局2022年度部门决算公开说明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color w:val="000000"/>
          <w:kern w:val="0"/>
          <w:sz w:val="32"/>
          <w:szCs w:val="32"/>
          <w:highlight w:val="none"/>
        </w:rPr>
      </w:pPr>
      <w:r>
        <w:rPr>
          <w:rFonts w:ascii="方正小标宋_GBK" w:eastAsia="方正小标宋_GBK" w:hAnsi="宋体" w:hint="eastAsia"/>
          <w:color w:val="000000"/>
          <w:sz w:val="44"/>
          <w:szCs w:val="44"/>
          <w:highlight w:val="none"/>
        </w:rPr>
        <w:br w:type="page"/>
      </w:r>
      <w:r>
        <w:rPr>
          <w:rFonts w:ascii="仿宋_GB2312" w:eastAsia="仿宋_GB2312" w:hAnsi="仿宋_GB2312" w:cs="仿宋_GB2312" w:hint="eastAsia"/>
          <w:b/>
          <w:color w:val="000000"/>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r>
        <w:rPr>
          <w:rFonts w:ascii="仿宋_GB2312" w:eastAsia="仿宋_GB2312" w:hAnsi="仿宋_GB2312" w:cs="仿宋_GB2312" w:hint="eastAsia"/>
          <w:color w:val="000000"/>
          <w:sz w:val="32"/>
          <w:szCs w:val="32"/>
          <w:highlight w:val="none"/>
        </w:rPr>
        <w:fldChar w:fldCharType="begin"/>
      </w:r>
      <w:r>
        <w:rPr>
          <w:rFonts w:ascii="仿宋_GB2312" w:eastAsia="仿宋_GB2312" w:hAnsi="仿宋_GB2312" w:cs="仿宋_GB2312" w:hint="eastAsia"/>
          <w:color w:val="000000"/>
          <w:sz w:val="32"/>
          <w:szCs w:val="32"/>
          <w:highlight w:val="none"/>
        </w:rPr>
        <w:instrText>TOC \o "1-3" \n \h \u</w:instrText>
      </w:r>
      <w:r>
        <w:rPr>
          <w:rFonts w:ascii="仿宋_GB2312" w:eastAsia="仿宋_GB2312" w:hAnsi="仿宋_GB2312" w:cs="仿宋_GB2312" w:hint="eastAsia"/>
          <w:color w:val="000000"/>
          <w:sz w:val="32"/>
          <w:szCs w:val="32"/>
          <w:highlight w:val="none"/>
        </w:rPr>
        <w:fldChar w:fldCharType="separate"/>
      </w:r>
      <w:hyperlink w:anchor="_Toc32314" w:history="1">
        <w:r>
          <w:rPr>
            <w:rFonts w:ascii="仿宋_GB2312" w:eastAsia="仿宋_GB2312" w:hAnsi="仿宋_GB2312" w:cs="仿宋_GB2312" w:hint="eastAsia"/>
            <w:b/>
            <w:color w:val="000000"/>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567" w:history="1">
        <w:r>
          <w:rPr>
            <w:rFonts w:ascii="仿宋_GB2312" w:eastAsia="仿宋_GB2312" w:hAnsi="仿宋_GB2312" w:cs="仿宋_GB2312" w:hint="eastAsia"/>
            <w:color w:val="000000"/>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 w:history="1">
        <w:r>
          <w:rPr>
            <w:rFonts w:ascii="仿宋_GB2312" w:eastAsia="仿宋_GB2312" w:hAnsi="仿宋_GB2312" w:cs="仿宋_GB2312" w:hint="eastAsia"/>
            <w:color w:val="000000"/>
            <w:kern w:val="0"/>
            <w:sz w:val="32"/>
            <w:szCs w:val="32"/>
            <w:highlight w:val="none"/>
          </w:rPr>
          <w:t>二、机构设置</w:t>
        </w:r>
        <w:r>
          <w:rPr>
            <w:rFonts w:ascii="仿宋_GB2312" w:eastAsia="仿宋_GB2312" w:hAnsi="仿宋_GB2312" w:cs="仿宋_GB2312" w:hint="eastAsia"/>
            <w:color w:val="000000"/>
            <w:kern w:val="0"/>
            <w:sz w:val="32"/>
            <w:szCs w:val="32"/>
            <w:highlight w:val="none"/>
            <w:lang w:eastAsia="zh-CN"/>
          </w:rPr>
          <w:t>及人员</w:t>
        </w:r>
        <w:r>
          <w:rPr>
            <w:rFonts w:ascii="仿宋_GB2312" w:eastAsia="仿宋_GB2312" w:hAnsi="仿宋_GB2312" w:cs="仿宋_GB2312" w:hint="eastAsia"/>
            <w:color w:val="000000"/>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9374" w:history="1">
        <w:r>
          <w:rPr>
            <w:rFonts w:ascii="仿宋_GB2312" w:eastAsia="仿宋_GB2312" w:hAnsi="仿宋_GB2312" w:cs="仿宋_GB2312" w:hint="eastAsia"/>
            <w:b/>
            <w:color w:val="000000"/>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5314" w:history="1">
        <w:r>
          <w:rPr>
            <w:rFonts w:ascii="仿宋_GB2312" w:eastAsia="仿宋_GB2312" w:hAnsi="仿宋_GB2312" w:cs="仿宋_GB2312" w:hint="eastAsia"/>
            <w:color w:val="000000"/>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142" w:history="1">
        <w:r>
          <w:rPr>
            <w:rFonts w:ascii="仿宋_GB2312" w:eastAsia="仿宋_GB2312" w:hAnsi="仿宋_GB2312" w:cs="仿宋_GB2312" w:hint="eastAsia"/>
            <w:color w:val="000000"/>
            <w:kern w:val="0"/>
            <w:sz w:val="32"/>
            <w:szCs w:val="32"/>
            <w:highlight w:val="none"/>
            <w:lang w:eastAsia="zh-CN"/>
          </w:rPr>
          <w:t>二、</w:t>
        </w:r>
        <w:r>
          <w:rPr>
            <w:rFonts w:ascii="仿宋_GB2312" w:eastAsia="仿宋_GB2312" w:hAnsi="仿宋_GB2312" w:cs="仿宋_GB2312" w:hint="eastAsia"/>
            <w:color w:val="000000"/>
            <w:kern w:val="0"/>
            <w:sz w:val="32"/>
            <w:szCs w:val="32"/>
            <w:highlight w:val="none"/>
          </w:rPr>
          <w:t>收入</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3201" w:history="1">
        <w:r>
          <w:rPr>
            <w:rFonts w:ascii="仿宋_GB2312" w:eastAsia="仿宋_GB2312" w:hAnsi="仿宋_GB2312" w:cs="仿宋_GB2312" w:hint="eastAsia"/>
            <w:color w:val="000000"/>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6564" w:history="1">
        <w:r>
          <w:rPr>
            <w:rFonts w:ascii="仿宋_GB2312" w:eastAsia="仿宋_GB2312" w:hAnsi="仿宋_GB2312" w:cs="仿宋_GB2312" w:hint="eastAsia"/>
            <w:color w:val="000000"/>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0360" w:history="1">
        <w:r>
          <w:rPr>
            <w:rFonts w:ascii="仿宋_GB2312" w:eastAsia="仿宋_GB2312" w:hAnsi="仿宋_GB2312" w:cs="仿宋_GB2312" w:hint="eastAsia"/>
            <w:color w:val="000000"/>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870" w:history="1">
        <w:r>
          <w:rPr>
            <w:rFonts w:ascii="仿宋_GB2312" w:eastAsia="仿宋_GB2312" w:hAnsi="仿宋_GB2312" w:cs="仿宋_GB2312" w:hint="eastAsia"/>
            <w:color w:val="000000"/>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8" w:history="1">
        <w:r>
          <w:rPr>
            <w:rFonts w:ascii="仿宋_GB2312" w:eastAsia="仿宋_GB2312" w:hAnsi="仿宋_GB2312" w:cs="仿宋_GB2312" w:hint="eastAsia"/>
            <w:color w:val="000000"/>
            <w:kern w:val="0"/>
            <w:sz w:val="32"/>
            <w:szCs w:val="32"/>
            <w:highlight w:val="none"/>
            <w:lang w:eastAsia="zh-CN"/>
          </w:rPr>
          <w:t>七</w:t>
        </w:r>
        <w:r>
          <w:rPr>
            <w:rFonts w:ascii="仿宋_GB2312" w:eastAsia="仿宋_GB2312" w:hAnsi="仿宋_GB2312" w:cs="仿宋_GB2312" w:hint="eastAsia"/>
            <w:color w:val="000000"/>
            <w:kern w:val="0"/>
            <w:sz w:val="32"/>
            <w:szCs w:val="32"/>
            <w:highlight w:val="none"/>
          </w:rPr>
          <w:t>、</w:t>
        </w:r>
        <w:r>
          <w:rPr>
            <w:rFonts w:ascii="仿宋_GB2312" w:eastAsia="仿宋_GB2312" w:hAnsi="仿宋_GB2312" w:cs="仿宋_GB2312" w:hint="eastAsia"/>
            <w:color w:val="000000"/>
            <w:kern w:val="0"/>
            <w:sz w:val="32"/>
            <w:szCs w:val="32"/>
            <w:highlight w:val="none"/>
            <w:lang w:eastAsia="zh-CN"/>
          </w:rPr>
          <w:t>财政拨款</w:t>
        </w:r>
        <w:r>
          <w:rPr>
            <w:rFonts w:ascii="仿宋_GB2312" w:eastAsia="仿宋_GB2312" w:hAnsi="仿宋_GB2312" w:cs="仿宋_GB2312" w:hint="eastAsia"/>
            <w:color w:val="000000"/>
            <w:kern w:val="0"/>
            <w:sz w:val="32"/>
            <w:szCs w:val="32"/>
            <w:highlight w:val="none"/>
          </w:rPr>
          <w:t>“三公”经费支出</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w:t>
        </w:r>
        <w:r>
          <w:rPr>
            <w:rFonts w:ascii="仿宋_GB2312" w:eastAsia="仿宋_GB2312" w:hAnsi="仿宋_GB2312" w:cs="仿宋_GB2312" w:hint="eastAsia"/>
            <w:color w:val="000000"/>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35" w:history="1">
        <w:r>
          <w:rPr>
            <w:rFonts w:ascii="仿宋_GB2312" w:eastAsia="仿宋_GB2312" w:hAnsi="仿宋_GB2312" w:cs="仿宋_GB2312" w:hint="eastAsia"/>
            <w:color w:val="000000"/>
            <w:kern w:val="0"/>
            <w:sz w:val="32"/>
            <w:szCs w:val="32"/>
            <w:highlight w:val="none"/>
            <w:lang w:eastAsia="zh-CN"/>
          </w:rPr>
          <w:t>十</w:t>
        </w:r>
        <w:r>
          <w:rPr>
            <w:rFonts w:ascii="仿宋_GB2312" w:eastAsia="仿宋_GB2312" w:hAnsi="仿宋_GB2312" w:cs="仿宋_GB2312" w:hint="eastAsia"/>
            <w:color w:val="000000"/>
            <w:kern w:val="0"/>
            <w:sz w:val="32"/>
            <w:szCs w:val="32"/>
            <w:highlight w:val="none"/>
          </w:rPr>
          <w:t>、其他重要事项的情况</w:t>
        </w:r>
        <w:r>
          <w:rPr>
            <w:rFonts w:ascii="仿宋_GB2312" w:eastAsia="仿宋_GB2312" w:hAnsi="仿宋_GB2312" w:cs="仿宋_GB2312" w:hint="eastAsia"/>
            <w:color w:val="000000"/>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519" w:history="1">
        <w:r>
          <w:rPr>
            <w:rFonts w:ascii="仿宋_GB2312" w:eastAsia="仿宋_GB2312" w:hAnsi="仿宋_GB2312" w:cs="仿宋_GB2312" w:hint="eastAsia"/>
            <w:color w:val="000000"/>
            <w:sz w:val="32"/>
            <w:szCs w:val="32"/>
            <w:highlight w:val="none"/>
            <w:lang w:eastAsia="zh-CN"/>
          </w:rPr>
          <w:t>（一）</w:t>
        </w:r>
        <w:r>
          <w:rPr>
            <w:rFonts w:ascii="仿宋_GB2312" w:eastAsia="仿宋_GB2312" w:hAnsi="仿宋_GB2312" w:cs="仿宋_GB2312" w:hint="eastAsia"/>
            <w:color w:val="000000"/>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27" w:history="1">
        <w:r>
          <w:rPr>
            <w:rFonts w:ascii="仿宋_GB2312" w:eastAsia="仿宋_GB2312" w:hAnsi="仿宋_GB2312" w:cs="仿宋_GB2312" w:hint="eastAsia"/>
            <w:color w:val="000000"/>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391" w:history="1">
        <w:r>
          <w:rPr>
            <w:rFonts w:ascii="仿宋_GB2312" w:eastAsia="仿宋_GB2312" w:hAnsi="仿宋_GB2312" w:cs="仿宋_GB2312" w:hint="eastAsia"/>
            <w:color w:val="000000"/>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1283" w:history="1">
        <w:r>
          <w:rPr>
            <w:rFonts w:ascii="仿宋_GB2312" w:eastAsia="仿宋_GB2312" w:hAnsi="仿宋_GB2312" w:cs="仿宋_GB2312" w:hint="eastAsia"/>
            <w:color w:val="000000"/>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3250" w:history="1">
        <w:r>
          <w:rPr>
            <w:rFonts w:ascii="仿宋_GB2312" w:eastAsia="仿宋_GB2312" w:hAnsi="仿宋_GB2312" w:cs="仿宋_GB2312" w:hint="eastAsia"/>
            <w:b/>
            <w:color w:val="000000"/>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2784" w:history="1">
        <w:r>
          <w:rPr>
            <w:rFonts w:ascii="仿宋_GB2312" w:eastAsia="仿宋_GB2312" w:hAnsi="仿宋_GB2312" w:cs="仿宋_GB2312" w:hint="eastAsia"/>
            <w:b/>
            <w:color w:val="000000"/>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83" w:history="1">
        <w:r>
          <w:rPr>
            <w:rFonts w:ascii="仿宋_GB2312" w:eastAsia="仿宋_GB2312" w:hAnsi="仿宋_GB2312" w:cs="仿宋_GB2312" w:hint="eastAsia"/>
            <w:color w:val="000000"/>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4532" w:history="1">
        <w:r>
          <w:rPr>
            <w:rFonts w:ascii="仿宋_GB2312" w:eastAsia="仿宋_GB2312" w:hAnsi="仿宋_GB2312" w:cs="仿宋_GB2312" w:hint="eastAsia"/>
            <w:color w:val="000000"/>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2434" w:history="1">
        <w:r>
          <w:rPr>
            <w:rFonts w:ascii="仿宋_GB2312" w:eastAsia="仿宋_GB2312" w:hAnsi="仿宋_GB2312" w:cs="仿宋_GB2312" w:hint="eastAsia"/>
            <w:color w:val="000000"/>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8786" w:history="1">
        <w:r>
          <w:rPr>
            <w:rFonts w:ascii="仿宋_GB2312" w:eastAsia="仿宋_GB2312" w:hAnsi="仿宋_GB2312" w:cs="仿宋_GB2312" w:hint="eastAsia"/>
            <w:color w:val="000000"/>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869" w:history="1">
        <w:r>
          <w:rPr>
            <w:rFonts w:ascii="仿宋_GB2312" w:eastAsia="仿宋_GB2312" w:hAnsi="仿宋_GB2312" w:cs="仿宋_GB2312" w:hint="eastAsia"/>
            <w:color w:val="000000"/>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884" w:history="1">
        <w:r>
          <w:rPr>
            <w:rFonts w:ascii="仿宋_GB2312" w:eastAsia="仿宋_GB2312" w:hAnsi="仿宋_GB2312" w:cs="仿宋_GB2312" w:hint="eastAsia"/>
            <w:color w:val="000000"/>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9106" w:history="1">
        <w:r>
          <w:rPr>
            <w:rFonts w:ascii="仿宋_GB2312" w:eastAsia="仿宋_GB2312" w:hAnsi="仿宋_GB2312" w:cs="仿宋_GB2312" w:hint="eastAsia"/>
            <w:color w:val="000000"/>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color w:val="000000"/>
          <w:highlight w:val="none"/>
        </w:rPr>
      </w:pPr>
      <w:r>
        <w:rPr>
          <w:rFonts w:ascii="仿宋_GB2312" w:eastAsia="仿宋_GB2312" w:hAnsi="仿宋_GB2312" w:cs="仿宋_GB2312" w:hint="eastAsia"/>
          <w:color w:val="000000"/>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color w:val="000000"/>
          <w:sz w:val="32"/>
          <w:szCs w:val="32"/>
          <w:highlight w:val="none"/>
        </w:rPr>
      </w:pPr>
      <w:r>
        <w:rPr>
          <w:rFonts w:ascii="仿宋_GB2312" w:eastAsia="仿宋_GB2312" w:hint="eastAsia"/>
          <w:color w:val="000000"/>
          <w:sz w:val="32"/>
          <w:szCs w:val="32"/>
          <w:highlight w:val="none"/>
        </w:rPr>
        <w:br w:type="page"/>
      </w:r>
      <w:bookmarkStart w:id="0" w:name="_Toc24028"/>
      <w:bookmarkStart w:id="1" w:name="_Toc32314"/>
      <w:r>
        <w:rPr>
          <w:rFonts w:ascii="黑体" w:eastAsia="黑体" w:hAnsi="黑体" w:hint="eastAsia"/>
          <w:color w:val="000000"/>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color w:val="000000"/>
          <w:kern w:val="0"/>
          <w:sz w:val="32"/>
          <w:szCs w:val="32"/>
          <w:highlight w:val="none"/>
        </w:rPr>
      </w:pPr>
      <w:bookmarkStart w:id="2" w:name="_Toc30738"/>
      <w:bookmarkStart w:id="3" w:name="_Toc30567"/>
      <w:r>
        <w:rPr>
          <w:rFonts w:ascii="黑体" w:eastAsia="黑体" w:hAnsi="黑体" w:cs="宋体" w:hint="eastAsia"/>
          <w:color w:val="000000"/>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一）负责应急管理工作，指导各乡镇(街道)、各部门应对安全生产类、自然灾害类突发事件和综合防灾减灾救灾工作。负责安全生产综合监督管理和工矿商贸(煤矿除外)行业安全生产监督管理工作。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（二）组织编制应急体系建设、安全生产和综合防灾减灾规划，组织制定应急管理、安全生产类规范性文件并监督应急管理、安全生产类综合性法规、规章、标准、规范性文件的实施。</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三)负责安全生产类、自然灾害类应急预案体系建设，建立完事故史滩和自然灾害分级应对制度，组织编制市总体应急预案和安全生产类、自然灾害类专项预案，综合协调应急预案街接工作，组织开展预案演练，推动应急避难设施建设。</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（四）牵头建立统一的应急管理信息系统，负责编制和落实信息传输渠道规划和布局，建立监测预警和灾情报告制度，健全自然灾害信息资源获取和共享机制，依法统一发布灾情。</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五）组织指导协调安全生产类、自然灾害类突发事件应急救援，承担市应对重大灾害指挥部工作，综合研判突发事件发展态势并提出应对建议，协助市委、市人民政府指定的负责同志组织重大灾害应急处置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（六）统一协调指挥各类应急专业队伍，建立应急协调联动机制，推进应急指挥平台对接，衔接解放军和武警部队参与应急救援工作。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七）统筹应急救援力量建设，负责消防、森林和草原火灾扑救、抗洪抢险、地震和地质灾害救援、生产安全事故救援专业应急救援力量建设，管理指挥市综合性应急救援队伍，指导各乡镇(街道)及社会应急救援力量建设。</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（八）负责消防管理工作，指导消防监督、火灾预防、火灾扑救等工作。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（九）指导协调森林和草原火灾、水旱灾害、地震和地质灾害防治工作，负责自然灾害综合监测预警工作，指导开展自然灾害综合风险评估工作。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（十）组织协调灾害救助工作，组织指导灾情核查、损失评估、教灾拓赠工作，管理、分配中央自治区、地区和市教史秋物并监督使用。</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（十一）依法行使安全生产综合监督管理职权;指导协调、监督检查各乡镇(街道)人民政府(办事处)和市有关部门安全生产工作，组织开展安全生产巡查、考核工作。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（十三）依法组织指导生产安全事故调查处理，监督事故查处和责任追究落实情况。组织开展自然灾害类突发事件的调查评估工作。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（十四）制定应急物资储备和应急救援装备规划并组织实施，会同市发展和改革委员会(市粮食和物资储备局)等部门建立健全应急物资信息平台和调拨制度，在救灾时统一调度。</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（十五）负责应急管理、安全生产宣传教育和培训工作，组织指导市应急管理、安全生产的科学技术研究、推广应用和信息化建设工作。开展应急管理方面的对外合作与交流。</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（十六）指导煤矿救护和组织协调煤矿事故应急救援。</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（十七）完成市委、市人民政府交办的其他任务。</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八）职能转变。市应急管理局应加强、优化、统筹市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市应急管理水平和防灾减灾救灾能力，防范化解重大安全风险。二是坚持以人为本，把确保人民群众生命安全放在首位，确保受灾群众基本生活，加强应急预案演练，增强全市公民防灾减灾意识，提升公众知识普及和自救互救技能，切实减少人员伤亡和财产损失。三是树立安全发展理念，坚持生命至上、安全第一，完善安全生产责任，坚决遏制重特大安全事故。</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 w:name="_Toc31238"/>
      <w:bookmarkStart w:id="5" w:name="_Toc2151"/>
      <w:r>
        <w:rPr>
          <w:rFonts w:ascii="黑体" w:eastAsia="黑体" w:hAnsi="黑体" w:cs="宋体" w:hint="eastAsia"/>
          <w:color w:val="000000"/>
          <w:kern w:val="0"/>
          <w:sz w:val="32"/>
          <w:szCs w:val="32"/>
          <w:highlight w:val="none"/>
        </w:rPr>
        <w:t>二、机构设置</w:t>
      </w:r>
      <w:r>
        <w:rPr>
          <w:rFonts w:ascii="黑体" w:eastAsia="黑体" w:hAnsi="黑体" w:cs="宋体" w:hint="eastAsia"/>
          <w:color w:val="000000"/>
          <w:kern w:val="0"/>
          <w:sz w:val="32"/>
          <w:szCs w:val="32"/>
          <w:highlight w:val="none"/>
          <w:lang w:eastAsia="zh-CN"/>
        </w:rPr>
        <w:t>及</w:t>
      </w:r>
      <w:bookmarkEnd w:id="4"/>
      <w:r>
        <w:rPr>
          <w:rFonts w:ascii="黑体" w:eastAsia="黑体" w:hAnsi="黑体" w:cs="宋体" w:hint="eastAsia"/>
          <w:color w:val="000000"/>
          <w:kern w:val="0"/>
          <w:sz w:val="32"/>
          <w:szCs w:val="32"/>
          <w:highlight w:val="none"/>
          <w:lang w:eastAsia="zh-CN"/>
        </w:rPr>
        <w:t>人员</w:t>
      </w:r>
      <w:r>
        <w:rPr>
          <w:rFonts w:ascii="黑体" w:eastAsia="黑体" w:hAnsi="黑体" w:cs="宋体" w:hint="eastAsia"/>
          <w:color w:val="000000"/>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新疆塔城地区乌苏市应急管理局2022年度，实有人数38人，其中：在职人员31人，离休人员0人，退休人员7人。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从部门决算单位构成看，新疆塔城地区乌苏市应急管理局部门决算包括：新疆塔城地区乌苏市应急管理局决算。单位无下属预算单位，下设4个处室，分别是：应急管理综合行政执法大队、自然灾害综合预警监察中心、安全生产应急救援中心、矿山安全服务保障中心。</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6" w:name="_Toc3092"/>
      <w:bookmarkStart w:id="7" w:name="_Toc2937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8" w:name="_Toc25314"/>
      <w:bookmarkStart w:id="9" w:name="_Toc12566"/>
      <w:r>
        <w:rPr>
          <w:rFonts w:ascii="黑体" w:eastAsia="黑体" w:hAnsi="黑体" w:cs="宋体" w:hint="eastAsia"/>
          <w:color w:val="000000"/>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收入总计525.02万元</w:t>
      </w:r>
      <w:r>
        <w:rPr>
          <w:rFonts w:ascii="仿宋_GB2312" w:eastAsia="仿宋_GB2312" w:hint="eastAsia"/>
          <w:color w:val="000000"/>
          <w:sz w:val="32"/>
          <w:szCs w:val="32"/>
          <w:highlight w:val="none"/>
          <w:lang w:eastAsia="zh-CN"/>
        </w:rPr>
        <w:t>，其中：本年收入合计525.02万元，使用非财政拨款结余0.00万元，年初结转和结余0.00万元。</w:t>
      </w:r>
      <w:r>
        <w:rPr>
          <w:rFonts w:ascii="仿宋_GB2312" w:eastAsia="仿宋_GB2312" w:hint="eastAsia"/>
          <w:color w:val="000000"/>
          <w:sz w:val="32"/>
          <w:szCs w:val="32"/>
          <w:highlight w:val="none"/>
        </w:rPr>
        <w:t>收入总计与上年相比</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：2021年有一笔中央补助资金</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无此收入</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本年支出总计525.02万元</w:t>
      </w:r>
      <w:r>
        <w:rPr>
          <w:rFonts w:ascii="仿宋_GB2312" w:eastAsia="仿宋_GB2312" w:hint="eastAsia"/>
          <w:color w:val="000000"/>
          <w:sz w:val="32"/>
          <w:szCs w:val="32"/>
          <w:highlight w:val="none"/>
          <w:lang w:eastAsia="zh-CN"/>
        </w:rPr>
        <w:t>，其中：本年支出合计525.02万元，结余分配0.00万元，年末结转和结余0.00万元。</w:t>
      </w:r>
      <w:r>
        <w:rPr>
          <w:rFonts w:ascii="仿宋_GB2312" w:eastAsia="仿宋_GB2312" w:hint="eastAsia"/>
          <w:color w:val="000000"/>
          <w:sz w:val="32"/>
          <w:szCs w:val="32"/>
          <w:highlight w:val="none"/>
        </w:rPr>
        <w:t>支出总计与上年相比</w:t>
      </w:r>
      <w:r>
        <w:rPr>
          <w:rFonts w:ascii="仿宋_GB2312" w:eastAsia="仿宋_GB2312" w:hint="eastAsia"/>
          <w:color w:val="000000"/>
          <w:sz w:val="32"/>
          <w:szCs w:val="32"/>
          <w:highlight w:val="none"/>
          <w:lang w:eastAsia="zh-CN"/>
        </w:rPr>
        <w:t>，减少66.68万元，下降11.27%，主要原因是</w:t>
      </w:r>
      <w:r>
        <w:rPr>
          <w:rFonts w:ascii="仿宋_GB2312" w:eastAsia="仿宋_GB2312" w:hint="eastAsia"/>
          <w:color w:val="000000"/>
          <w:sz w:val="32"/>
          <w:szCs w:val="32"/>
          <w:highlight w:val="none"/>
        </w:rPr>
        <w:t>：2021年有一笔中央补助资金</w:t>
      </w:r>
      <w:r>
        <w:rPr>
          <w:rFonts w:ascii="仿宋_GB2312" w:eastAsia="仿宋_GB2312" w:hint="eastAsia"/>
          <w:color w:val="000000"/>
          <w:sz w:val="32"/>
          <w:szCs w:val="32"/>
          <w:highlight w:val="none"/>
          <w:lang w:val="en-US" w:eastAsia="zh-CN"/>
        </w:rPr>
        <w:t>支出</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10" w:name="_Toc1979"/>
      <w:bookmarkStart w:id="11" w:name="_Toc12142"/>
      <w:r>
        <w:rPr>
          <w:rFonts w:ascii="黑体" w:eastAsia="黑体" w:hAnsi="黑体" w:cs="宋体" w:hint="eastAsia"/>
          <w:color w:val="000000"/>
          <w:kern w:val="0"/>
          <w:sz w:val="32"/>
          <w:szCs w:val="32"/>
          <w:highlight w:val="none"/>
          <w:lang w:eastAsia="zh-CN"/>
        </w:rPr>
        <w:t>二、</w:t>
      </w:r>
      <w:r>
        <w:rPr>
          <w:rFonts w:ascii="黑体" w:eastAsia="黑体" w:hAnsi="黑体" w:cs="宋体" w:hint="eastAsia"/>
          <w:color w:val="000000"/>
          <w:kern w:val="0"/>
          <w:sz w:val="32"/>
          <w:szCs w:val="32"/>
          <w:highlight w:val="none"/>
        </w:rPr>
        <w:t>收入</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收入525.02万元，其中：财政拨款收入525.02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2" w:name="_Toc27961"/>
      <w:bookmarkStart w:id="13" w:name="_Toc13201"/>
      <w:r>
        <w:rPr>
          <w:rFonts w:ascii="黑体" w:eastAsia="黑体" w:hAnsi="黑体" w:cs="宋体" w:hint="eastAsia"/>
          <w:color w:val="000000"/>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本年支出525.02万元，其中：基本支出525.02万元，占100.00%；项目支出0.00万元，占0.00%；上缴上级支出0.00万元，占0.00%；经营支出0.00万元，占0.00%；对附属单位补助支出0.00万元，占0.00%。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4" w:name="_Toc26564"/>
      <w:bookmarkStart w:id="15" w:name="_Toc4393"/>
      <w:r>
        <w:rPr>
          <w:rFonts w:ascii="黑体" w:eastAsia="黑体" w:hAnsi="黑体" w:cs="宋体" w:hint="eastAsia"/>
          <w:color w:val="000000"/>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财政拨款收入总计525.02万元，其中：年初财政拨款结转和结余0.00万元，财政拨款本年收入525.02万元。财政拨款收入总计与上年相比，减少66.68万元，下降11.27%，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2021年单位有一笔中央补助资金</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无此项收入</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财政拨款支出总计525.02万元，其中：年末财政拨款结转和结余0.00万元，财政拨款本年支出525.02万元。财政拨款支出总计与上年相比，减少66.68万元，下降11.27%，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2021年单位有一笔中央补助资金</w:t>
      </w:r>
      <w:r>
        <w:rPr>
          <w:rFonts w:ascii="仿宋_GB2312" w:eastAsia="仿宋_GB2312" w:hint="eastAsia"/>
          <w:color w:val="000000"/>
          <w:sz w:val="32"/>
          <w:szCs w:val="32"/>
          <w:highlight w:val="none"/>
          <w:lang w:val="en-US" w:eastAsia="zh-CN"/>
        </w:rPr>
        <w:t>支出</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无此项目支出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与年初预算数相比情况：财政拨款收入总计年初预算数448.05万元，决算数525.02万元，预决算差异率17.18%，</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本年发放两年奖励性工资，调整基础绩效工资、年终发放绩效工资增加</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。财政拨款支出总计年初预算数448.05万元，决算数525.02万元，预决算差异率17.18%，</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本年发放两年奖励性工资，调整基础绩效工资、年终发放绩效工资</w:t>
      </w:r>
      <w:r>
        <w:rPr>
          <w:rFonts w:ascii="仿宋_GB2312" w:eastAsia="仿宋_GB2312" w:hint="eastAsia"/>
          <w:color w:val="000000"/>
          <w:sz w:val="32"/>
          <w:szCs w:val="32"/>
          <w:highlight w:val="none"/>
          <w:lang w:val="en-US" w:eastAsia="zh-CN"/>
        </w:rPr>
        <w:t>增加支出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6" w:name="_Toc20360"/>
      <w:bookmarkStart w:id="17" w:name="_Toc13833"/>
      <w:r>
        <w:rPr>
          <w:rFonts w:ascii="黑体" w:eastAsia="黑体" w:hAnsi="黑体" w:cs="宋体" w:hint="eastAsia"/>
          <w:color w:val="000000"/>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一般公共预算财政拨款支出525.02万元，占本年支出合计的100.00%，与上年相比，减少66.68万元，下降11.27%，主要原因是：2021年单位有一笔中央补助资金，2022年因疫情原因</w:t>
      </w:r>
      <w:r>
        <w:rPr>
          <w:rFonts w:ascii="仿宋_GB2312" w:eastAsia="仿宋_GB2312" w:hint="eastAsia"/>
          <w:color w:val="000000"/>
          <w:sz w:val="32"/>
          <w:szCs w:val="32"/>
          <w:highlight w:val="none"/>
          <w:lang w:val="en-US" w:eastAsia="zh-CN"/>
        </w:rPr>
        <w:t>无此项支出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1.一般公共服务支出（类）20.66万元，占3.94%。</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2.社会保障和就业支出（类）43.38万元，占8.26%。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3.卫生健康支出（类）26.80万元，占5.10%。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4.农林水支出（类）13.29万元，占2.53%。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5.住房保障支出（类）28.75万元，占5.48%。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6.灾害防治及应急管理支出（类）392.14万元，占74.69%。</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1.一般公共服务支出（类）政府办公厅（室）及相关机构事务（款）机关服务（项）：支出决算数为20.66万元，比上年决算增加20.66万元，增长100%，主要原因是：新招录2名工作人员。</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2.社会保障和就业支出（类）行政事业单位养老支出（款）行政单位离退休（项）：支出决算数为2.58万元，比上年决算增加2.58万元，增长100%，主要原因是：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；2、新招录2名事业编人员；3、人员工资调整，基本养老基数增加。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3.社会保障和就业支出（类）行政事业单位养老支出（款）机关事业单位基本养老保险缴费支出（项）：支出决算数为34.53万元，比上年决算增加6.34万元，增长22.49%，主要原因是：</w:t>
      </w:r>
      <w:r>
        <w:rPr>
          <w:rFonts w:ascii="仿宋_GB2312" w:eastAsia="仿宋_GB2312" w:hAnsi="仿宋_GB2312" w:cs="仿宋_GB2312" w:hint="eastAsia"/>
          <w:color w:val="000000"/>
          <w:kern w:val="0"/>
          <w:sz w:val="32"/>
          <w:szCs w:val="32"/>
          <w:highlight w:val="none"/>
          <w:lang w:eastAsia="zh-CN"/>
        </w:rPr>
        <w:t>由于机构改革，煤炭监管职能划入我单位，新招录</w:t>
      </w:r>
      <w:r>
        <w:rPr>
          <w:rFonts w:ascii="仿宋_GB2312" w:eastAsia="仿宋_GB2312" w:hAnsi="仿宋_GB2312" w:cs="仿宋_GB2312" w:hint="eastAsia"/>
          <w:color w:val="000000"/>
          <w:kern w:val="0"/>
          <w:sz w:val="32"/>
          <w:szCs w:val="32"/>
          <w:highlight w:val="none"/>
          <w:lang w:val="en-US" w:eastAsia="zh-CN"/>
        </w:rPr>
        <w:t>2名事业编人员</w:t>
      </w:r>
      <w:r>
        <w:rPr>
          <w:rFonts w:ascii="仿宋_GB2312" w:eastAsia="仿宋_GB2312" w:hint="eastAsia"/>
          <w:color w:val="000000"/>
          <w:sz w:val="32"/>
          <w:szCs w:val="32"/>
          <w:highlight w:val="none"/>
          <w:lang w:val="en-US" w:eastAsia="zh-CN"/>
        </w:rPr>
        <w:t>。</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4.社会保障和就业支出（类）行政事业单位养老支出（款）机关事业单位职业年金缴费支出（项）：支出决算数为6.27万元，比上年决算增加0.27万元，增长4.50%，主要原因是：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；2、新招录2名事业编人员；3、人员工资调整，职业年金增加。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5.卫生健康支出（类）行政事业单位医疗（款）行政单位医疗（项）：支出决算数为21.41万元，比上年决算减少1.79万元，下降7.72%，主要原因是：行政单位医疗基数调减。</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6.卫生健康支出（类）行政事业单位医疗（款）公务员医疗补助（项）：支出决算数为5.39万元，比上年决算增加0.59万元，增长12.29%，主要原因是：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；2、人员工资调整，公务员医疗补助。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7.农林水支出（类）农业农村（款）其他农业农村支出（项）：支出决算数为13.29万元，比上年决算增加13.29万元，增长100%，主要原因是：上年社区工作队经费计其他支出，本年单独设立类款项。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8.住房保障支出（类）住房改革支出（款）住房公积金（项）：支出决算数为28.75万元，比上年决算增加5.40万元，增长23.18%，主要原因是：因机构改革原发改委煤炭科5人员转入我局，招录2名工作人员，住房公积金基数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9.灾害防治及应急管理支出（类）应急管理事务（款）行政运行（项）：支出决算数为390.14万元，比上年决算增加144.34万元，增长58.72%，主要原因是：因机构改革原发改委煤炭科5人员转入我局，招录2名工作人员。</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10.灾害防治及应急管理支出（类）应急管理事务（款）灾害风险防治（项）：支出决算数为2.00万元，比上年决算增加2.00万元，增长100%，主要原因是：付2021年度自然灾害普查经费2万元。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11、科学技术支出（类）科学技术管理事务（款）其他科学技术管理事务支出（项）：支出决算数为0.00万元，比上年决算减少125.47万元，下降100%，主要原因是：科目调整，本年不再使用此科目。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12、灾害防治及应急管理支出（类）应急管理事务（款）其他应急管理支出（项）：支出决算数为0.00万元，比上年决算减少5.99万元，下降100%，主要原因是：科目调整，本年不再使用此科目。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13、灾害防治及应急管理支出（类）自然灾害救灾及恢复重建支出（款）自然灾害救灾补助（项）：支出决算数为0.00万元，比上年决算减少120.00万元，下降100%，主要原因是：科目调整，本年不再使用此科目。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14、灾害防治及应急管理支出（类）其他灾害防治及应急管理支出（款）其他灾害防治及应急管理支出（项）：支出决算数为0.00万元，比上年决算减少8.72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15、其他支出（类）其他支出（款）其他支出（项）：支出决算数为0.00万元，比上年决算减少0.18万元，下降100%，主要原因是：科目调整，本年不再使用此科目。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8" w:name="_Toc30870"/>
      <w:bookmarkStart w:id="19" w:name="_Toc11146"/>
      <w:r>
        <w:rPr>
          <w:rFonts w:ascii="黑体" w:eastAsia="黑体" w:hAnsi="黑体" w:cs="宋体" w:hint="eastAsia"/>
          <w:color w:val="000000"/>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2022年度一般公共预算财政拨款基本支出525.02万元，其中：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人员经费473.0</w:t>
      </w:r>
      <w:r>
        <w:rPr>
          <w:rFonts w:ascii="仿宋_GB2312" w:eastAsia="仿宋_GB2312" w:hint="eastAsia"/>
          <w:color w:val="000000"/>
          <w:sz w:val="32"/>
          <w:szCs w:val="32"/>
          <w:highlight w:val="none"/>
          <w:lang w:val="en-US" w:eastAsia="zh-CN"/>
        </w:rPr>
        <w:t>7</w:t>
      </w:r>
      <w:r>
        <w:rPr>
          <w:rFonts w:ascii="仿宋_GB2312" w:eastAsia="仿宋_GB2312" w:hint="eastAsia"/>
          <w:color w:val="000000"/>
          <w:sz w:val="32"/>
          <w:szCs w:val="32"/>
          <w:highlight w:val="none"/>
        </w:rPr>
        <w:t>万元，包括：基本工资、津贴补贴、奖金、机关事业单位基本养老保险缴费、职业年金缴费、职工基本医疗保险缴费、公务员医疗补助缴费、其他社会保障缴费、住房公积金、退休费、抚恤金、生活补助。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公用经费51.95万元，包括：办公费、邮电费、劳务费。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0" w:name="_Toc7190"/>
      <w:bookmarkStart w:id="21" w:name="_Toc21518"/>
      <w:r>
        <w:rPr>
          <w:rFonts w:ascii="黑体" w:eastAsia="黑体" w:hAnsi="黑体" w:cs="宋体" w:hint="eastAsia"/>
          <w:color w:val="000000"/>
          <w:kern w:val="0"/>
          <w:sz w:val="32"/>
          <w:szCs w:val="32"/>
          <w:highlight w:val="none"/>
          <w:lang w:eastAsia="zh-CN"/>
        </w:rPr>
        <w:t>七</w:t>
      </w:r>
      <w:r>
        <w:rPr>
          <w:rFonts w:ascii="黑体" w:eastAsia="黑体" w:hAnsi="黑体" w:cs="宋体" w:hint="eastAsia"/>
          <w:color w:val="000000"/>
          <w:kern w:val="0"/>
          <w:sz w:val="32"/>
          <w:szCs w:val="32"/>
          <w:highlight w:val="none"/>
        </w:rPr>
        <w:t>、</w:t>
      </w:r>
      <w:r>
        <w:rPr>
          <w:rFonts w:ascii="黑体" w:eastAsia="黑体" w:hAnsi="黑体" w:cs="宋体" w:hint="eastAsia"/>
          <w:color w:val="000000"/>
          <w:kern w:val="0"/>
          <w:sz w:val="32"/>
          <w:szCs w:val="32"/>
          <w:highlight w:val="none"/>
          <w:lang w:eastAsia="zh-CN"/>
        </w:rPr>
        <w:t>财政拨款</w:t>
      </w:r>
      <w:r>
        <w:rPr>
          <w:rFonts w:ascii="黑体" w:eastAsia="黑体" w:hAnsi="黑体" w:cs="宋体" w:hint="eastAsia"/>
          <w:color w:val="000000"/>
          <w:kern w:val="0"/>
          <w:sz w:val="32"/>
          <w:szCs w:val="32"/>
          <w:highlight w:val="none"/>
        </w:rPr>
        <w:t>“三公”经费支出</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w:t>
      </w:r>
      <w:r>
        <w:rPr>
          <w:rFonts w:ascii="黑体" w:eastAsia="黑体" w:hAnsi="黑体" w:cs="宋体" w:hint="eastAsia"/>
          <w:color w:val="000000"/>
          <w:kern w:val="0"/>
          <w:sz w:val="32"/>
          <w:szCs w:val="32"/>
          <w:highlight w:val="none"/>
          <w:lang w:eastAsia="zh-CN"/>
        </w:rPr>
        <w:t>说明</w:t>
      </w:r>
      <w:bookmarkEnd w:id="20"/>
      <w:bookmarkEnd w:id="2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三公”经费支出决算0.00万元，比上年减少1.86万元，下降100%，主要原因是：所有公务用车费用由机关事务管理局统一支付。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用车购置及运行维护费支出0.00万元，占0.00%，比上年减少1.86万元，下降100%，主要原因是：乌苏市车辆管理规定，单位车辆管理运行费归市机关事务管理局管理。公务用车购置与年初预算及上年度相比无变化；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与全年预算数相比情况：“三公”经费支出全年预算数0.00万元，决算数0.00万元，预决算差异率0.00%，主要原因是：我单位未安排</w:t>
      </w:r>
      <w:r>
        <w:rPr>
          <w:rFonts w:ascii="仿宋_GB2312" w:eastAsia="仿宋_GB2312" w:hint="eastAsia"/>
          <w:color w:val="000000"/>
          <w:sz w:val="32"/>
          <w:szCs w:val="32"/>
          <w:highlight w:val="none"/>
          <w:lang w:val="en-US" w:eastAsia="zh-CN"/>
        </w:rPr>
        <w:t>财政拨款</w:t>
      </w:r>
      <w:r>
        <w:rPr>
          <w:rFonts w:ascii="仿宋_GB2312" w:eastAsia="仿宋_GB2312" w:hint="eastAsia"/>
          <w:color w:val="000000"/>
          <w:sz w:val="32"/>
          <w:szCs w:val="32"/>
          <w:highlight w:val="none"/>
        </w:rPr>
        <w:t>“三公”经费支出，预决算无差异。</w:t>
      </w:r>
      <w:r>
        <w:rPr>
          <w:rFonts w:ascii="仿宋_GB2312" w:eastAsia="仿宋_GB2312" w:hint="eastAsia"/>
          <w:color w:val="000000"/>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color w:val="000000"/>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color w:val="000000"/>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color w:val="000000"/>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2" w:name="_Toc7927"/>
      <w:bookmarkStart w:id="23" w:name="_Toc5810"/>
      <w:r>
        <w:rPr>
          <w:rFonts w:ascii="黑体" w:eastAsia="黑体" w:hAnsi="黑体" w:cs="宋体" w:hint="eastAsia"/>
          <w:color w:val="000000"/>
          <w:kern w:val="0"/>
          <w:sz w:val="32"/>
          <w:szCs w:val="32"/>
          <w:highlight w:val="none"/>
          <w:lang w:eastAsia="zh-CN"/>
        </w:rPr>
        <w:t>八、政府性基金预算财政拨款收入支出决算情况说明</w:t>
      </w:r>
      <w:bookmarkEnd w:id="22"/>
      <w:bookmarkEnd w:id="2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我单位本年度无政府性基金预算财政拨款收入、支出及结转和结余，</w:t>
      </w:r>
      <w:r>
        <w:rPr>
          <w:rFonts w:ascii="仿宋_GB2312" w:eastAsia="仿宋_GB2312" w:hint="eastAsia"/>
          <w:color w:val="000000"/>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我单位本年度无国有资本经营预算财政拨款收入、支出及结转和结余，</w:t>
      </w:r>
      <w:r>
        <w:rPr>
          <w:rFonts w:ascii="仿宋_GB2312" w:eastAsia="仿宋_GB2312" w:hint="eastAsia"/>
          <w:color w:val="000000"/>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4" w:name="_Toc1235"/>
      <w:bookmarkStart w:id="25" w:name="_Toc7314"/>
      <w:r>
        <w:rPr>
          <w:rFonts w:ascii="黑体" w:eastAsia="黑体" w:hAnsi="黑体" w:cs="宋体" w:hint="eastAsia"/>
          <w:color w:val="000000"/>
          <w:kern w:val="0"/>
          <w:sz w:val="32"/>
          <w:szCs w:val="32"/>
          <w:highlight w:val="none"/>
          <w:lang w:eastAsia="zh-CN"/>
        </w:rPr>
        <w:t>十</w:t>
      </w:r>
      <w:r>
        <w:rPr>
          <w:rFonts w:ascii="黑体" w:eastAsia="黑体" w:hAnsi="黑体" w:cs="宋体" w:hint="eastAsia"/>
          <w:color w:val="000000"/>
          <w:kern w:val="0"/>
          <w:sz w:val="32"/>
          <w:szCs w:val="32"/>
          <w:highlight w:val="none"/>
        </w:rPr>
        <w:t>、其他重要事项的情况</w:t>
      </w:r>
      <w:r>
        <w:rPr>
          <w:rFonts w:ascii="黑体" w:eastAsia="黑体" w:hAnsi="黑体" w:cs="宋体" w:hint="eastAsia"/>
          <w:color w:val="000000"/>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rPr>
      </w:pPr>
      <w:bookmarkStart w:id="26" w:name="_Toc14519"/>
      <w:bookmarkStart w:id="27" w:name="_Toc13105"/>
      <w:r>
        <w:rPr>
          <w:rFonts w:ascii="黑体" w:eastAsia="黑体" w:hAnsi="黑体" w:hint="eastAsia"/>
          <w:color w:val="000000"/>
          <w:sz w:val="32"/>
          <w:szCs w:val="32"/>
          <w:highlight w:val="none"/>
          <w:lang w:eastAsia="zh-CN"/>
        </w:rPr>
        <w:t>（一）</w:t>
      </w:r>
      <w:r>
        <w:rPr>
          <w:rFonts w:ascii="黑体" w:eastAsia="黑体" w:hAnsi="黑体" w:hint="eastAsia"/>
          <w:color w:val="000000"/>
          <w:sz w:val="32"/>
          <w:szCs w:val="32"/>
          <w:highlight w:val="none"/>
        </w:rPr>
        <w:t>机关运行经费支出情况</w:t>
      </w:r>
      <w:bookmarkEnd w:id="26"/>
      <w:bookmarkEnd w:id="27"/>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rPr>
        <w:t>2022年度新疆塔城地区乌苏市应急管理局（行政单位和参照公务员法管理事业单位）机关运行经费支出51.95万元，比上年增加41.37万元，增长391.02%，主要原因是：</w:t>
      </w:r>
      <w:r>
        <w:rPr>
          <w:rFonts w:ascii="仿宋_GB2312" w:eastAsia="仿宋_GB2312" w:hint="eastAsia"/>
          <w:color w:val="00000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由于机构改革，煤炭监管职能划入我单位，人员增加</w:t>
      </w:r>
      <w:r>
        <w:rPr>
          <w:rFonts w:ascii="仿宋_GB2312" w:eastAsia="仿宋_GB2312" w:hAnsi="仿宋_GB2312" w:cs="仿宋_GB2312" w:hint="eastAsia"/>
          <w:color w:val="000000"/>
          <w:kern w:val="0"/>
          <w:sz w:val="32"/>
          <w:szCs w:val="32"/>
          <w:highlight w:val="none"/>
          <w:lang w:val="en-US" w:eastAsia="zh-CN"/>
        </w:rPr>
        <w:t>；2、人员工资调整。</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28" w:name="_Toc26704"/>
      <w:bookmarkStart w:id="29" w:name="_Toc227"/>
      <w:r>
        <w:rPr>
          <w:rFonts w:ascii="黑体" w:eastAsia="黑体" w:hAnsi="黑体" w:hint="eastAsia"/>
          <w:color w:val="000000"/>
          <w:sz w:val="32"/>
          <w:szCs w:val="32"/>
          <w:highlight w:val="none"/>
          <w:lang w:eastAsia="zh-CN"/>
        </w:rPr>
        <w:t>（二）政府采购情况</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2022年度政府采购支出总额4.81万元，其中：政府采购货物支出4.81万元、政府采购工程支出0.00万元、政府采购服务支出0.00万元。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rPr>
        <w:t>授予中小企业合同金额</w:t>
      </w:r>
      <w:r>
        <w:rPr>
          <w:rFonts w:ascii="仿宋_GB2312" w:eastAsia="仿宋_GB2312" w:hint="eastAsia"/>
          <w:color w:val="000000"/>
          <w:sz w:val="32"/>
          <w:szCs w:val="32"/>
          <w:highlight w:val="none"/>
          <w:lang w:eastAsia="zh-CN"/>
        </w:rPr>
        <w:t>4.81</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100.00</w:t>
      </w:r>
      <w:r>
        <w:rPr>
          <w:rFonts w:ascii="仿宋_GB2312" w:eastAsia="仿宋_GB2312" w:hint="eastAsia"/>
          <w:color w:val="000000"/>
          <w:sz w:val="32"/>
          <w:szCs w:val="32"/>
          <w:highlight w:val="none"/>
          <w:lang w:val="en-US" w:eastAsia="zh-CN"/>
        </w:rPr>
        <w:t>%</w:t>
      </w:r>
      <w:r>
        <w:rPr>
          <w:rFonts w:ascii="仿宋_GB2312" w:eastAsia="仿宋_GB2312" w:hint="eastAsia"/>
          <w:color w:val="000000"/>
          <w:sz w:val="32"/>
          <w:szCs w:val="32"/>
          <w:highlight w:val="none"/>
        </w:rPr>
        <w:t>，其中：授予小微企业合同金额</w:t>
      </w:r>
      <w:r>
        <w:rPr>
          <w:rFonts w:ascii="仿宋_GB2312" w:eastAsia="仿宋_GB2312" w:hint="eastAsia"/>
          <w:color w:val="000000"/>
          <w:sz w:val="32"/>
          <w:szCs w:val="32"/>
          <w:highlight w:val="none"/>
          <w:lang w:eastAsia="zh-CN"/>
        </w:rPr>
        <w:t>4.81</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100.00</w:t>
      </w:r>
      <w:r>
        <w:rPr>
          <w:rFonts w:ascii="仿宋_GB2312" w:eastAsia="仿宋_GB2312" w:hint="eastAsia"/>
          <w:color w:val="000000"/>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30" w:name="_Toc4591"/>
      <w:bookmarkStart w:id="31" w:name="_Toc8391"/>
      <w:r>
        <w:rPr>
          <w:rFonts w:ascii="黑体" w:eastAsia="黑体" w:hAnsi="黑体" w:hint="eastAsia"/>
          <w:color w:val="000000"/>
          <w:sz w:val="32"/>
          <w:szCs w:val="32"/>
          <w:highlight w:val="none"/>
          <w:lang w:eastAsia="zh-CN"/>
        </w:rPr>
        <w:t>（三）国有资产占用情况说明</w:t>
      </w:r>
      <w:bookmarkEnd w:id="30"/>
      <w:bookmarkEnd w:id="3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截止2022年12月31日，固定资产原值162.71万元，房屋0.00平方米，价值0.00万元。车辆1辆，价值21.31万元，其中：副部（省）级及以上领导用车0辆、主要领导干部用车0辆、机要通信用车0辆、应急保障用车0辆、执法执勤用车1辆、特种专业技术用车0辆、离退休干部用车0辆、其他用车0辆，其他用车主要是：本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32" w:name="_Toc11283"/>
      <w:bookmarkStart w:id="33" w:name="_Toc435"/>
      <w:r>
        <w:rPr>
          <w:rFonts w:ascii="黑体" w:eastAsia="黑体" w:hAnsi="黑体" w:cs="宋体" w:hint="eastAsia"/>
          <w:color w:val="000000"/>
          <w:kern w:val="0"/>
          <w:sz w:val="32"/>
          <w:szCs w:val="32"/>
          <w:highlight w:val="none"/>
          <w:lang w:eastAsia="zh-CN"/>
        </w:rPr>
        <w:t>十一、预算绩效的情况说明</w:t>
      </w:r>
      <w:bookmarkEnd w:id="32"/>
      <w:bookmarkEnd w:id="33"/>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具体项目自评情况附项目支出绩效自评表。</w:t>
      </w:r>
      <w:bookmarkStart w:id="34" w:name="_GoBack"/>
      <w:bookmarkEnd w:id="34"/>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5" w:name="_Toc3250"/>
      <w:bookmarkStart w:id="36" w:name="_Toc2414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年初</w:t>
      </w:r>
      <w:r>
        <w:rPr>
          <w:rFonts w:ascii="仿宋_GB2312" w:eastAsia="仿宋_GB2312" w:hint="eastAsia"/>
          <w:color w:val="000000"/>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7" w:name="_Toc22784"/>
      <w:bookmarkStart w:id="38" w:name="_Toc2890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39" w:name="_Toc2183"/>
      <w:bookmarkStart w:id="40" w:name="_Toc6062"/>
      <w:r>
        <w:rPr>
          <w:rFonts w:ascii="黑体" w:eastAsia="黑体" w:hAnsi="黑体" w:cs="宋体" w:hint="eastAsia"/>
          <w:color w:val="000000"/>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1" w:name="_Toc24532"/>
      <w:bookmarkStart w:id="42" w:name="_Toc30364"/>
      <w:r>
        <w:rPr>
          <w:rFonts w:ascii="黑体" w:eastAsia="黑体" w:hAnsi="黑体" w:cs="宋体" w:hint="eastAsia"/>
          <w:color w:val="000000"/>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3" w:name="_Toc21304"/>
      <w:bookmarkStart w:id="44" w:name="_Toc32434"/>
      <w:r>
        <w:rPr>
          <w:rFonts w:ascii="黑体" w:eastAsia="黑体" w:hAnsi="黑体" w:cs="宋体" w:hint="eastAsia"/>
          <w:color w:val="000000"/>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5" w:name="_Toc14238"/>
      <w:bookmarkStart w:id="46" w:name="_Toc28786"/>
      <w:r>
        <w:rPr>
          <w:rFonts w:ascii="黑体" w:eastAsia="黑体" w:hAnsi="黑体" w:cs="宋体" w:hint="eastAsia"/>
          <w:color w:val="000000"/>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7" w:name="_Toc10347"/>
      <w:bookmarkStart w:id="48" w:name="_Toc14869"/>
      <w:r>
        <w:rPr>
          <w:rFonts w:ascii="黑体" w:eastAsia="黑体" w:hAnsi="黑体" w:cs="宋体" w:hint="eastAsia"/>
          <w:color w:val="000000"/>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9" w:name="_Toc5626"/>
      <w:bookmarkStart w:id="50" w:name="_Toc8884"/>
      <w:r>
        <w:rPr>
          <w:rFonts w:ascii="黑体" w:eastAsia="黑体" w:hAnsi="黑体" w:cs="宋体" w:hint="eastAsia"/>
          <w:color w:val="000000"/>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51" w:name="_Toc32663"/>
      <w:bookmarkStart w:id="52" w:name="_Toc29106"/>
      <w:r>
        <w:rPr>
          <w:rFonts w:ascii="黑体" w:eastAsia="黑体" w:hAnsi="黑体" w:cs="宋体" w:hint="eastAsia"/>
          <w:color w:val="000000"/>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53" w:name="_Toc7643"/>
      <w:bookmarkStart w:id="54" w:name="_Toc5453"/>
      <w:r>
        <w:rPr>
          <w:rFonts w:ascii="黑体" w:eastAsia="黑体" w:hAnsi="黑体" w:cs="宋体" w:hint="eastAsia"/>
          <w:color w:val="000000"/>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87354D"/>
    <w:rsid w:val="15C53E41"/>
    <w:rsid w:val="193A0191"/>
    <w:rsid w:val="26322A81"/>
    <w:rsid w:val="2A4C43DD"/>
    <w:rsid w:val="38D842C5"/>
    <w:rsid w:val="44E63E28"/>
    <w:rsid w:val="5F6116E6"/>
    <w:rsid w:val="7150327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Calibri" w:eastAsia="宋体" w:hAnsi="Calibri" w:cs="Times New Roman"/>
      <w:sz w:val="20"/>
      <w:szCs w:val="20"/>
    </w:rPr>
  </w:style>
  <w:style w:type="paragraph" w:customStyle="1" w:styleId="WPSOffice2">
    <w:name w:val="WPSOffice手动目录 2"/>
    <w:qFormat/>
    <w:pPr>
      <w:ind w:left="200" w:leftChars="200"/>
    </w:pPr>
    <w:rPr>
      <w:rFonts w:ascii="Calibri" w:eastAsia="宋体" w:hAnsi="Calibri" w:cs="Times New Roman"/>
      <w:sz w:val="20"/>
      <w:szCs w:val="20"/>
    </w:rPr>
  </w:style>
  <w:style w:type="paragraph" w:customStyle="1" w:styleId="WPSOffice1">
    <w:name w:val="WPSOffice手动目录 1"/>
    <w:qFormat/>
    <w:pPr>
      <w:ind w:leftChars="0"/>
    </w:pPr>
    <w:rPr>
      <w:rFonts w:ascii="Calibri" w:eastAsia="宋体"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0</cp:revision>
  <dcterms:created xsi:type="dcterms:W3CDTF">2014-10-29T12:08:00Z</dcterms:created>
  <dcterms:modified xsi:type="dcterms:W3CDTF">2023-02-14T14:06:43Z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BBEBC52F7E6D418B8A6B0B0E2CD66865</vt:lpwstr>
  </property>
  <property fmtid="{D5CDD505-2E9C-101B-9397-08002B2CF9AE}" pid="3" name="KSOProductBuildVer">
    <vt:lpwstr>2052-11.8.2.8555</vt:lpwstr>
  </property>
</Properties>
</file>