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b/>
          <w:bCs/>
          <w:color w:val="auto"/>
          <w:sz w:val="44"/>
          <w:szCs w:val="44"/>
          <w:lang w:val="en-US" w:eastAsia="zh-CN"/>
        </w:rPr>
      </w:pPr>
      <w:r>
        <w:rPr>
          <w:rFonts w:hint="eastAsia"/>
          <w:b/>
          <w:bCs/>
          <w:color w:val="auto"/>
          <w:sz w:val="44"/>
          <w:szCs w:val="44"/>
          <w:lang w:val="en-US" w:eastAsia="zh-CN"/>
        </w:rPr>
        <w:t>乌苏市2022年中央林业改革发展资金项目</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b/>
          <w:bCs/>
          <w:color w:val="auto"/>
          <w:sz w:val="44"/>
          <w:szCs w:val="44"/>
          <w:lang w:val="en-US" w:eastAsia="zh-CN"/>
        </w:rPr>
      </w:pPr>
      <w:r>
        <w:rPr>
          <w:rFonts w:hint="eastAsia"/>
          <w:b/>
          <w:bCs/>
          <w:color w:val="auto"/>
          <w:sz w:val="44"/>
          <w:szCs w:val="44"/>
          <w:lang w:val="en-US" w:eastAsia="zh-CN"/>
        </w:rPr>
        <w:t>绩效自评报告</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b/>
          <w:bCs/>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b/>
          <w:bCs/>
          <w:color w:val="auto"/>
          <w:sz w:val="44"/>
          <w:szCs w:val="44"/>
          <w:lang w:val="en-US" w:eastAsia="zh-CN"/>
        </w:rPr>
      </w:pPr>
      <w:r>
        <w:rPr>
          <w:rFonts w:hint="eastAsia"/>
          <w:b/>
          <w:bCs/>
          <w:color w:val="auto"/>
          <w:sz w:val="32"/>
          <w:szCs w:val="32"/>
          <w:lang w:val="en-US" w:eastAsia="zh-CN"/>
        </w:rPr>
        <w:t>基本信息</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color w:val="auto"/>
          <w:sz w:val="28"/>
          <w:szCs w:val="28"/>
          <w:lang w:val="en-US" w:eastAsia="zh-CN"/>
        </w:rPr>
      </w:pPr>
      <w:r>
        <w:rPr>
          <w:rFonts w:hint="eastAsia"/>
          <w:color w:val="auto"/>
          <w:sz w:val="28"/>
          <w:szCs w:val="28"/>
          <w:lang w:val="en-US" w:eastAsia="zh-CN"/>
        </w:rPr>
        <w:t>名称：</w:t>
      </w:r>
      <w:r>
        <w:rPr>
          <w:rFonts w:hint="eastAsia"/>
          <w:color w:val="auto"/>
          <w:sz w:val="28"/>
          <w:szCs w:val="28"/>
          <w:lang w:val="en-US" w:eastAsia="zh-CN"/>
        </w:rPr>
        <w:t>乌苏市2022年中央林业改革发展资金</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color w:val="auto"/>
          <w:sz w:val="28"/>
          <w:szCs w:val="28"/>
          <w:lang w:val="en-US" w:eastAsia="zh-CN"/>
        </w:rPr>
      </w:pPr>
      <w:r>
        <w:rPr>
          <w:rFonts w:hint="eastAsia"/>
          <w:color w:val="auto"/>
          <w:sz w:val="28"/>
          <w:szCs w:val="28"/>
          <w:lang w:val="en-US" w:eastAsia="zh-CN"/>
        </w:rPr>
        <w:t>绩效分配方式：</w:t>
      </w:r>
      <w:r>
        <w:rPr>
          <w:rFonts w:hint="eastAsia"/>
          <w:color w:val="auto"/>
          <w:sz w:val="28"/>
          <w:szCs w:val="28"/>
          <w:lang w:val="en-US" w:eastAsia="zh-CN"/>
        </w:rPr>
        <w:t>因素法</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b/>
          <w:bCs/>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b/>
          <w:bCs/>
          <w:color w:val="auto"/>
          <w:sz w:val="32"/>
          <w:szCs w:val="32"/>
        </w:rPr>
      </w:pPr>
      <w:r>
        <w:rPr>
          <w:rFonts w:hint="eastAsia"/>
          <w:b/>
          <w:bCs/>
          <w:color w:val="auto"/>
          <w:sz w:val="32"/>
          <w:szCs w:val="32"/>
          <w:lang w:eastAsia="zh-CN"/>
        </w:rPr>
        <w:t>详细情况</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color w:val="auto"/>
          <w:sz w:val="28"/>
          <w:szCs w:val="28"/>
        </w:rPr>
      </w:pPr>
      <w:r>
        <w:rPr>
          <w:rFonts w:hint="eastAsia"/>
          <w:color w:val="auto"/>
          <w:sz w:val="28"/>
          <w:szCs w:val="28"/>
        </w:rPr>
        <w:t>项目背景及立项依据：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lang w:val="en-US" w:eastAsia="zh-CN"/>
        </w:rPr>
      </w:pPr>
      <w:r>
        <w:rPr>
          <w:rFonts w:hint="eastAsia"/>
          <w:color w:val="auto"/>
          <w:sz w:val="28"/>
          <w:szCs w:val="28"/>
          <w:lang w:val="en-US" w:eastAsia="zh-CN"/>
        </w:rPr>
        <w:t>塔地财农[2016]71号，乌苏市林业和草原局2016年新一轮退耕还林补助53600元；塔地财农[2018]59号，乌苏市林业和草原局2018年森林抚育项目39331.60元；塔地财建[2020]151号，乌苏市林业和草原局2021年</w:t>
      </w:r>
      <w:r>
        <w:rPr>
          <w:rFonts w:hint="eastAsia"/>
          <w:color w:val="auto"/>
          <w:sz w:val="28"/>
          <w:szCs w:val="28"/>
          <w:lang w:val="en-US" w:eastAsia="zh-CN"/>
        </w:rPr>
        <w:t>森林生态效益补偿8254697.12元；塔地财建[2020]9号，2020年退化草原生态修复治理—补播改良项目；塔地财建[2020]11号，乌苏市林业和草原局2020年森林植被恢复费—林果提质增效项目726613.49元；塔地财建[2021]87号，第一次全国自然灾害综合风险普查中央补助资金240000元；塔地财建[2022]4号，2022年森林生态效益补偿-林业有害生物防治项目60000元。</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b/>
          <w:bCs/>
          <w:color w:val="auto"/>
          <w:sz w:val="32"/>
          <w:szCs w:val="32"/>
        </w:rPr>
      </w:pPr>
      <w:r>
        <w:rPr>
          <w:rFonts w:hint="default"/>
          <w:b/>
          <w:bCs/>
          <w:color w:val="auto"/>
          <w:sz w:val="28"/>
          <w:szCs w:val="28"/>
          <w:lang w:val="en-US" w:eastAsia="zh-CN"/>
        </w:rPr>
        <w:t>项目概况</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color w:val="auto"/>
          <w:sz w:val="28"/>
          <w:szCs w:val="28"/>
        </w:rPr>
      </w:pPr>
      <w:r>
        <w:rPr>
          <w:rFonts w:hint="eastAsia"/>
          <w:color w:val="auto"/>
          <w:sz w:val="28"/>
          <w:szCs w:val="28"/>
        </w:rPr>
        <w:t>项目内容：</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rPr>
      </w:pPr>
      <w:r>
        <w:rPr>
          <w:rFonts w:hint="eastAsia"/>
          <w:color w:val="auto"/>
          <w:sz w:val="28"/>
          <w:szCs w:val="28"/>
        </w:rPr>
        <w:t>乌苏市林业和草原局2016年新一轮退耕还林任务5万亩，分5年实行，每亩1500元的标准，五年7500万元；</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rPr>
      </w:pPr>
      <w:r>
        <w:rPr>
          <w:rFonts w:hint="eastAsia"/>
          <w:color w:val="auto"/>
          <w:sz w:val="28"/>
          <w:szCs w:val="28"/>
        </w:rPr>
        <w:t>乌苏市林业和草原局2018年森林抚育项目250万元，抚育建设内容包括修树枝、除草、废旧残枝拉运清理、刷树等。</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rPr>
      </w:pPr>
      <w:r>
        <w:rPr>
          <w:rFonts w:hint="eastAsia"/>
          <w:color w:val="auto"/>
          <w:sz w:val="28"/>
          <w:szCs w:val="28"/>
        </w:rPr>
        <w:t>塔地财农[2019]9号、塔地财建[2020]106号中央林业改革发展资金30000元；塔地财建[2020]151号乌苏市林业和草原局2021年森林生态效益补偿8254697.12元；</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rPr>
      </w:pPr>
      <w:r>
        <w:rPr>
          <w:rFonts w:hint="eastAsia"/>
          <w:color w:val="auto"/>
          <w:sz w:val="28"/>
          <w:szCs w:val="28"/>
        </w:rPr>
        <w:t>乌苏市林业和草原局林业有害生物防治项目60000元，主要用于林业有害生物防治及林木检验检疫、检疫执法。</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rPr>
      </w:pPr>
      <w:r>
        <w:rPr>
          <w:rFonts w:hint="eastAsia"/>
          <w:color w:val="auto"/>
          <w:sz w:val="28"/>
          <w:szCs w:val="28"/>
        </w:rPr>
        <w:t>乌苏市林业和草原局2020年森林植被恢复费—林果提质增效项目主要是800亩优质葡萄基地建设、300亩优质枸杞基地建设以及林果企业市场开拓等；</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color w:val="auto"/>
          <w:sz w:val="28"/>
          <w:szCs w:val="28"/>
        </w:rPr>
      </w:pPr>
      <w:r>
        <w:rPr>
          <w:rFonts w:hint="eastAsia"/>
          <w:color w:val="auto"/>
          <w:sz w:val="28"/>
          <w:szCs w:val="28"/>
        </w:rPr>
        <w:t>乌苏市第一次全国自然灾害综合风险普查中央补助资金240000元主要用于甘家湖公益林林区内对自然灾害进行普查、上传图片、核对图斑，形成报告和数据后上报自治区，由自治区验收。</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color w:val="auto"/>
          <w:sz w:val="28"/>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b/>
          <w:bCs/>
          <w:color w:val="auto"/>
          <w:sz w:val="32"/>
          <w:szCs w:val="32"/>
        </w:rPr>
      </w:pPr>
      <w:r>
        <w:rPr>
          <w:rFonts w:hint="eastAsia"/>
          <w:color w:val="auto"/>
          <w:sz w:val="28"/>
          <w:szCs w:val="28"/>
        </w:rPr>
        <w:t>项目组织架构及分工：</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rPr>
      </w:pPr>
      <w:r>
        <w:rPr>
          <w:rFonts w:hint="eastAsia"/>
          <w:color w:val="auto"/>
          <w:sz w:val="28"/>
          <w:szCs w:val="28"/>
        </w:rPr>
        <w:t>（一）前期准备。</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rPr>
      </w:pPr>
      <w:r>
        <w:rPr>
          <w:rFonts w:hint="eastAsia"/>
          <w:color w:val="auto"/>
          <w:sz w:val="28"/>
          <w:szCs w:val="28"/>
        </w:rPr>
        <w:t>1、组建工作组。对评估工作组成员进行内部培训沟通，了解项目工作要求及重点工作内容，沟通探讨评估程序及注意事项。 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rPr>
      </w:pPr>
      <w:r>
        <w:rPr>
          <w:rFonts w:hint="eastAsia"/>
          <w:color w:val="auto"/>
          <w:sz w:val="28"/>
          <w:szCs w:val="28"/>
        </w:rPr>
        <w:t>2、初步拟定评估工作方案。按照工作时间及相关要求，初步拟定了项目评估工作方案，对工作时间节点进行了明确，确保能够按照时间要求完成工作任务。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rPr>
      </w:pPr>
      <w:r>
        <w:rPr>
          <w:rFonts w:hint="eastAsia"/>
          <w:color w:val="auto"/>
          <w:sz w:val="28"/>
          <w:szCs w:val="28"/>
        </w:rPr>
        <w:t>3、组织相关人员开展项目专项研讨会。</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rPr>
      </w:pPr>
      <w:r>
        <w:rPr>
          <w:rFonts w:hint="eastAsia"/>
          <w:color w:val="auto"/>
          <w:sz w:val="28"/>
          <w:szCs w:val="28"/>
        </w:rPr>
        <w:t>（二）组织过程。</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color w:val="auto"/>
          <w:sz w:val="28"/>
          <w:szCs w:val="28"/>
        </w:rPr>
      </w:pPr>
      <w:r>
        <w:rPr>
          <w:rFonts w:hint="eastAsia"/>
          <w:color w:val="auto"/>
          <w:sz w:val="28"/>
          <w:szCs w:val="28"/>
        </w:rPr>
        <w:t>为了确保本次评价工作顺利圆满完成，财务室会同项目管理使用部门通过实地察看项目成果、审查账目、交流讨论等方式，对2022年度中央转移支付资金进行了自评打分，结合项目实效，对自评结果进全面核查。</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Theme="minorEastAsia" w:eastAsiaTheme="minorEastAsia" w:hAnsiTheme="minorEastAsia" w:cstheme="minorEastAsia" w:hint="eastAsia"/>
          <w:b/>
          <w:bCs/>
          <w:color w:val="auto"/>
          <w:sz w:val="36"/>
          <w:szCs w:val="36"/>
          <w:lang w:val="en-US" w:eastAsia="zh-CN"/>
        </w:rPr>
      </w:pPr>
      <w:r>
        <w:rPr>
          <w:rFonts w:asciiTheme="minorEastAsia" w:eastAsiaTheme="minorEastAsia" w:hAnsiTheme="minorEastAsia" w:cstheme="minorEastAsia" w:hint="eastAsia"/>
          <w:b/>
          <w:bCs/>
          <w:color w:val="auto"/>
          <w:sz w:val="36"/>
          <w:szCs w:val="36"/>
          <w:lang w:val="en-US" w:eastAsia="zh-CN"/>
        </w:rPr>
        <w:t>绩效自评报告</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b/>
          <w:bCs/>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Courier New" w:eastAsiaTheme="minorEastAsia" w:cstheme="minorBidi" w:hint="default"/>
          <w:color w:val="auto"/>
          <w:kern w:val="2"/>
          <w:sz w:val="28"/>
          <w:szCs w:val="28"/>
          <w:lang w:val="en-US" w:eastAsia="zh-CN" w:bidi="ar-SA"/>
        </w:rPr>
      </w:pPr>
      <w:r>
        <w:rPr>
          <w:rFonts w:ascii="宋体" w:hAnsi="Courier New" w:eastAsiaTheme="minorEastAsia" w:cstheme="minorBidi" w:hint="eastAsia"/>
          <w:b/>
          <w:bCs/>
          <w:i w:val="0"/>
          <w:iCs w:val="0"/>
          <w:color w:val="auto"/>
          <w:kern w:val="2"/>
          <w:sz w:val="28"/>
          <w:szCs w:val="28"/>
          <w:lang w:val="en-US" w:eastAsia="zh-CN" w:bidi="ar-SA"/>
        </w:rPr>
        <w:t>全年预算数：</w:t>
      </w:r>
      <w:r>
        <w:rPr>
          <w:rFonts w:ascii="宋体" w:hAnsi="Courier New" w:eastAsiaTheme="minorEastAsia" w:cstheme="minorBidi" w:hint="eastAsia"/>
          <w:color w:val="auto"/>
          <w:kern w:val="2"/>
          <w:sz w:val="28"/>
          <w:szCs w:val="28"/>
          <w:lang w:val="en-US" w:eastAsia="zh-CN" w:bidi="ar-SA"/>
        </w:rPr>
        <w:t xml:space="preserve">246.89万元      </w:t>
      </w:r>
      <w:r>
        <w:rPr>
          <w:rFonts w:ascii="宋体" w:hAnsi="Courier New" w:eastAsiaTheme="minorEastAsia" w:cstheme="minorBidi" w:hint="eastAsia"/>
          <w:b/>
          <w:bCs/>
          <w:color w:val="auto"/>
          <w:kern w:val="2"/>
          <w:sz w:val="28"/>
          <w:szCs w:val="28"/>
          <w:lang w:val="en-US" w:eastAsia="zh-CN" w:bidi="ar-SA"/>
        </w:rPr>
        <w:t>全年执行数：</w:t>
      </w:r>
      <w:r>
        <w:rPr>
          <w:rFonts w:ascii="宋体" w:hAnsi="Courier New" w:eastAsiaTheme="minorEastAsia" w:cstheme="minorBidi" w:hint="eastAsia"/>
          <w:color w:val="auto"/>
          <w:kern w:val="2"/>
          <w:sz w:val="28"/>
          <w:szCs w:val="28"/>
          <w:lang w:val="en-US" w:eastAsia="zh-CN" w:bidi="ar-SA"/>
        </w:rPr>
        <w:t>244.10万元</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仿宋" w:eastAsia="仿宋" w:hAnsi="仿宋" w:cs="仿宋" w:hint="eastAsia"/>
          <w:b/>
          <w:bCs/>
          <w:color w:val="auto"/>
          <w:sz w:val="32"/>
          <w:szCs w:val="32"/>
          <w:lang w:val="en-US" w:eastAsia="zh-CN"/>
        </w:rPr>
      </w:pPr>
      <w:r>
        <w:rPr>
          <w:rFonts w:ascii="宋体" w:hAnsi="Courier New" w:eastAsiaTheme="minorEastAsia" w:cstheme="minorBidi" w:hint="eastAsia"/>
          <w:b/>
          <w:bCs/>
          <w:color w:val="auto"/>
          <w:kern w:val="2"/>
          <w:sz w:val="28"/>
          <w:szCs w:val="28"/>
          <w:lang w:val="en-US" w:eastAsia="zh-CN" w:bidi="ar-SA"/>
        </w:rPr>
        <w:t>年度预期目标：</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Courier New" w:eastAsiaTheme="minorEastAsia" w:cstheme="minorBidi" w:hint="eastAsia"/>
          <w:color w:val="auto"/>
          <w:kern w:val="2"/>
          <w:sz w:val="28"/>
          <w:szCs w:val="28"/>
          <w:lang w:val="en-US" w:eastAsia="zh-CN" w:bidi="ar-SA"/>
        </w:rPr>
      </w:pPr>
      <w:r>
        <w:rPr>
          <w:rFonts w:ascii="宋体" w:hAnsi="Courier New" w:eastAsiaTheme="minorEastAsia" w:cstheme="minorBidi" w:hint="eastAsia"/>
          <w:color w:val="auto"/>
          <w:kern w:val="2"/>
          <w:sz w:val="28"/>
          <w:szCs w:val="28"/>
          <w:lang w:val="en-US" w:eastAsia="zh-CN" w:bidi="ar-SA"/>
        </w:rPr>
        <w:t xml:space="preserve">目标1：保护乡村地形地貌、水系水体、林草植被等自然生态资源。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Courier New" w:eastAsiaTheme="minorEastAsia" w:cstheme="minorBidi" w:hint="eastAsia"/>
          <w:color w:val="auto"/>
          <w:kern w:val="2"/>
          <w:sz w:val="28"/>
          <w:szCs w:val="28"/>
          <w:lang w:val="en-US" w:eastAsia="zh-CN" w:bidi="ar-SA"/>
        </w:rPr>
      </w:pPr>
      <w:r>
        <w:rPr>
          <w:rFonts w:ascii="宋体" w:hAnsi="Courier New" w:eastAsiaTheme="minorEastAsia" w:cstheme="minorBidi" w:hint="eastAsia"/>
          <w:color w:val="auto"/>
          <w:kern w:val="2"/>
          <w:sz w:val="28"/>
          <w:szCs w:val="28"/>
          <w:lang w:val="en-US" w:eastAsia="zh-CN" w:bidi="ar-SA"/>
        </w:rPr>
        <w:t xml:space="preserve">目标2：全面保护乡村绿化成果，持续增加乡村绿化总量。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Courier New" w:eastAsiaTheme="minorEastAsia" w:cstheme="minorBidi" w:hint="eastAsia"/>
          <w:color w:val="auto"/>
          <w:kern w:val="2"/>
          <w:sz w:val="28"/>
          <w:szCs w:val="28"/>
          <w:lang w:val="en-US" w:eastAsia="zh-CN" w:bidi="ar-SA"/>
        </w:rPr>
      </w:pPr>
      <w:r>
        <w:rPr>
          <w:rFonts w:ascii="宋体" w:hAnsi="Courier New" w:eastAsiaTheme="minorEastAsia" w:cstheme="minorBidi" w:hint="eastAsia"/>
          <w:color w:val="auto"/>
          <w:kern w:val="2"/>
          <w:sz w:val="28"/>
          <w:szCs w:val="28"/>
          <w:lang w:val="en-US" w:eastAsia="zh-CN" w:bidi="ar-SA"/>
        </w:rPr>
        <w:t xml:space="preserve">目标3：加快推进年乡村绿化美化，不断改善提升村容村貌。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 w:eastAsia="仿宋" w:hAnsi="仿宋" w:cs="仿宋" w:hint="eastAsia"/>
          <w:b/>
          <w:bCs/>
          <w:color w:val="auto"/>
          <w:sz w:val="32"/>
          <w:szCs w:val="32"/>
          <w:lang w:val="en-US" w:eastAsia="zh-CN"/>
        </w:rPr>
      </w:pPr>
      <w:r>
        <w:rPr>
          <w:rFonts w:ascii="宋体" w:hAnsi="Courier New" w:eastAsiaTheme="minorEastAsia" w:cstheme="minorBidi" w:hint="eastAsia"/>
          <w:color w:val="auto"/>
          <w:kern w:val="2"/>
          <w:sz w:val="28"/>
          <w:szCs w:val="28"/>
          <w:lang w:val="en-US" w:eastAsia="zh-CN" w:bidi="ar-SA"/>
        </w:rPr>
        <w:t>目标4：推进林业可持续发展，发挥林业生态作用。</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b/>
          <w:bCs/>
          <w:color w:val="auto"/>
          <w:sz w:val="30"/>
          <w:szCs w:val="30"/>
          <w:lang w:val="en-US" w:eastAsia="zh-CN"/>
        </w:rPr>
      </w:pPr>
      <w:r>
        <w:rPr>
          <w:rFonts w:ascii="宋体" w:hAnsi="Courier New" w:eastAsiaTheme="minorEastAsia" w:cstheme="minorBidi" w:hint="eastAsia"/>
          <w:b/>
          <w:bCs/>
          <w:color w:val="auto"/>
          <w:kern w:val="2"/>
          <w:sz w:val="28"/>
          <w:szCs w:val="28"/>
          <w:lang w:val="en-US" w:eastAsia="zh-CN" w:bidi="ar-SA"/>
        </w:rPr>
        <w:t>实际完成目标：</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lang w:val="en-US" w:eastAsia="zh-CN"/>
        </w:rPr>
      </w:pPr>
      <w:r>
        <w:rPr>
          <w:rFonts w:hint="eastAsia"/>
          <w:color w:val="auto"/>
          <w:sz w:val="28"/>
          <w:szCs w:val="28"/>
          <w:lang w:val="en-US" w:eastAsia="zh-CN"/>
        </w:rPr>
        <w:t>乌苏市2022年中央林业改革发展资金项目预算资金246.89万元，截止2022年12月31日，已经支付244.10万元，项目按照计划正常实行，已经完成了重点公益林管护人员12个月工资的发放、社保和公积金的缴纳、19个管护站运行正常，同时给各管护站配备办公设备、生活物资，改善了工作和生活条件；开挖防火沟隔离带加强公益林森林防火工作；通过实施森林生态效益补偿，增加了绿洲生态系统的稳定性，支持了地区经济的可持续发展。公益林的保护和发展，阻止了沙漠向绿洲侵蚀，减少了不利于工农业生产的灾害性气候发生频率，使地方工农业增产增收得到保证，提供了良好的基础。植被的增加，减少了风沙，净化了空气，在保证了工农业生产的同时，也改善了居民生存环境，从根本上提高了居民的生活质量。</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color w:val="auto"/>
          <w:sz w:val="28"/>
          <w:szCs w:val="28"/>
          <w:lang w:val="en-US" w:eastAsia="zh-CN"/>
        </w:rPr>
      </w:pPr>
      <w:r>
        <w:rPr>
          <w:rFonts w:hint="eastAsia"/>
          <w:b/>
          <w:bCs/>
          <w:color w:val="auto"/>
          <w:sz w:val="28"/>
          <w:szCs w:val="28"/>
          <w:lang w:val="en-US" w:eastAsia="zh-CN"/>
        </w:rPr>
        <w:t>全年执行率：</w:t>
      </w:r>
      <w:r>
        <w:rPr>
          <w:rFonts w:hint="eastAsia"/>
          <w:color w:val="auto"/>
          <w:sz w:val="28"/>
          <w:szCs w:val="28"/>
          <w:lang w:val="en-US" w:eastAsia="zh-CN"/>
        </w:rPr>
        <w:t>98.87%</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color w:val="auto"/>
          <w:sz w:val="28"/>
          <w:szCs w:val="28"/>
          <w:lang w:val="en-US" w:eastAsia="zh-CN"/>
        </w:rPr>
      </w:pPr>
      <w:r>
        <w:rPr>
          <w:rFonts w:hint="eastAsia"/>
          <w:b/>
          <w:bCs/>
          <w:color w:val="auto"/>
          <w:sz w:val="28"/>
          <w:szCs w:val="28"/>
          <w:lang w:val="en-US" w:eastAsia="zh-CN"/>
        </w:rPr>
        <w:t>绩效自评指标：</w:t>
      </w:r>
      <w:r>
        <w:rPr>
          <w:rFonts w:hint="eastAsia"/>
          <w:color w:val="auto"/>
          <w:sz w:val="28"/>
          <w:szCs w:val="28"/>
          <w:lang w:val="en-US" w:eastAsia="zh-CN"/>
        </w:rPr>
        <w:t>达成年度指标</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center"/>
        <w:textAlignment w:val="auto"/>
        <w:rPr>
          <w:rFonts w:hint="eastAsia"/>
          <w:b/>
          <w:bCs/>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center"/>
        <w:textAlignment w:val="auto"/>
        <w:rPr>
          <w:rFonts w:hint="default"/>
          <w:b/>
          <w:bCs/>
          <w:color w:val="auto"/>
          <w:sz w:val="28"/>
          <w:szCs w:val="28"/>
          <w:lang w:val="en-US" w:eastAsia="zh-CN"/>
        </w:rPr>
      </w:pPr>
      <w:r>
        <w:rPr>
          <w:rFonts w:hint="eastAsia"/>
          <w:b/>
          <w:bCs/>
          <w:color w:val="auto"/>
          <w:sz w:val="28"/>
          <w:szCs w:val="28"/>
          <w:lang w:val="en-US" w:eastAsia="zh-CN"/>
        </w:rPr>
        <w:t>绩效自评结论</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b/>
          <w:bCs/>
          <w:color w:val="auto"/>
          <w:sz w:val="28"/>
          <w:szCs w:val="28"/>
          <w:lang w:val="en-US" w:eastAsia="zh-CN"/>
        </w:rPr>
      </w:pPr>
      <w:bookmarkStart w:id="0" w:name="_GoBack"/>
      <w:r>
        <w:rPr>
          <w:rFonts w:hint="eastAsia"/>
          <w:b/>
          <w:bCs/>
          <w:color w:val="auto"/>
          <w:sz w:val="28"/>
          <w:szCs w:val="28"/>
          <w:lang w:val="en-US" w:eastAsia="zh-CN"/>
        </w:rPr>
        <w:t>项目主要经验总结：</w:t>
      </w:r>
    </w:p>
    <w:bookmarkEnd w:id="0"/>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lang w:val="en-US" w:eastAsia="zh-CN"/>
        </w:rPr>
      </w:pPr>
      <w:r>
        <w:rPr>
          <w:rFonts w:hint="eastAsia"/>
          <w:color w:val="auto"/>
          <w:sz w:val="28"/>
          <w:szCs w:val="28"/>
          <w:lang w:val="en-US" w:eastAsia="zh-CN"/>
        </w:rPr>
        <w:t>1、严格依照《中央财政森林生态效益补偿基金实施方案》进行资金拨付管理，拨付之前严格检查林业专项资金使用等情况。</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lang w:val="en-US" w:eastAsia="zh-CN"/>
        </w:rPr>
      </w:pPr>
      <w:r>
        <w:rPr>
          <w:rFonts w:hint="eastAsia"/>
          <w:color w:val="auto"/>
          <w:sz w:val="28"/>
          <w:szCs w:val="28"/>
          <w:lang w:val="en-US" w:eastAsia="zh-CN"/>
        </w:rPr>
        <w:t>2、落实责任，规范管理。市林业局与甘家湖林场、甘家湖林场管辖区内各管护站及乡镇林业站签订了《国家级公益林管护责任书》，与管护人员签订了合同、聘书，各管护站与各管护人员签订了《国家级公益林管护责任书》，将每个林班、小班落实到每个管护员，层层抓落实。</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b/>
          <w:bCs/>
          <w:color w:val="auto"/>
          <w:sz w:val="28"/>
          <w:szCs w:val="28"/>
          <w:lang w:val="en-US" w:eastAsia="zh-CN"/>
        </w:rPr>
      </w:pPr>
      <w:r>
        <w:rPr>
          <w:rFonts w:hint="eastAsia"/>
          <w:b/>
          <w:bCs/>
          <w:color w:val="auto"/>
          <w:sz w:val="28"/>
          <w:szCs w:val="28"/>
          <w:lang w:val="en-US" w:eastAsia="zh-CN"/>
        </w:rPr>
        <w:t>项目存在的主要问题：</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color w:val="auto"/>
          <w:sz w:val="28"/>
          <w:szCs w:val="28"/>
          <w:lang w:val="en-US" w:eastAsia="zh-CN"/>
        </w:rPr>
      </w:pPr>
      <w:r>
        <w:rPr>
          <w:rFonts w:hint="eastAsia"/>
          <w:color w:val="auto"/>
          <w:sz w:val="28"/>
          <w:szCs w:val="28"/>
          <w:lang w:val="en-US" w:eastAsia="zh-CN"/>
        </w:rPr>
        <w:t>1.专项资金到位晚，实际到账日期都在本年3月，而施工建设资金支出在经乌苏市财经委员会审批和进行市财政局采购中心招投标时比原计划时间延长了很多。同时2022年我市为贯彻落实“1+3+3+改革开放”、“三保”、化债占用大量财力，现阶段市财力紧张，资金调度难度大，导致项目资金支付进度缓慢。</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default"/>
          <w:color w:val="auto"/>
          <w:sz w:val="28"/>
          <w:szCs w:val="28"/>
          <w:lang w:val="en-US" w:eastAsia="zh-CN"/>
        </w:rPr>
      </w:pPr>
      <w:r>
        <w:rPr>
          <w:rFonts w:hint="eastAsia"/>
          <w:color w:val="auto"/>
          <w:sz w:val="28"/>
          <w:szCs w:val="28"/>
          <w:lang w:val="en-US" w:eastAsia="zh-CN"/>
        </w:rPr>
        <w:t>2.资金使用过程中存在局限性，解决不了深层次的问题。建议进一步加大资金投入。按照管户区实际需求下达任务。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color w:val="auto"/>
          <w:sz w:val="28"/>
          <w:szCs w:val="28"/>
          <w:lang w:val="en-US" w:eastAsia="zh-CN"/>
        </w:rPr>
      </w:pPr>
      <w:r>
        <w:rPr>
          <w:rFonts w:hint="eastAsia"/>
          <w:b/>
          <w:bCs/>
          <w:color w:val="auto"/>
          <w:sz w:val="28"/>
          <w:szCs w:val="28"/>
          <w:lang w:val="en-US" w:eastAsia="zh-CN"/>
        </w:rPr>
        <w:t>未完成指标：</w:t>
      </w:r>
      <w:r>
        <w:rPr>
          <w:rFonts w:hint="eastAsia"/>
          <w:color w:val="auto"/>
          <w:sz w:val="28"/>
          <w:szCs w:val="28"/>
          <w:lang w:val="en-US" w:eastAsia="zh-CN"/>
        </w:rPr>
        <w:t>公益林管户支出129.15万元，偏差率2%</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b/>
          <w:bCs/>
          <w:color w:val="auto"/>
          <w:sz w:val="28"/>
          <w:szCs w:val="28"/>
          <w:lang w:val="en-US" w:eastAsia="zh-CN"/>
        </w:rPr>
      </w:pPr>
      <w:r>
        <w:rPr>
          <w:rFonts w:hint="eastAsia"/>
          <w:b/>
          <w:bCs/>
          <w:color w:val="auto"/>
          <w:sz w:val="28"/>
          <w:szCs w:val="28"/>
          <w:lang w:val="en-US" w:eastAsia="zh-CN"/>
        </w:rPr>
        <w:t>对项目决策的建议：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lang w:val="en-US" w:eastAsia="zh-CN"/>
        </w:rPr>
      </w:pPr>
      <w:r>
        <w:rPr>
          <w:rFonts w:hint="eastAsia"/>
          <w:color w:val="auto"/>
          <w:sz w:val="28"/>
          <w:szCs w:val="28"/>
          <w:lang w:val="en-US" w:eastAsia="zh-CN"/>
        </w:rPr>
        <w:t>加强资金支出过程监督和管理工作，对资金支出应设定针对性的考核标准，让资金支出做到有据可依，有据可凭。进一步保障资金使用的规范化、效益化。加强资金支付进度，保障项目效益最大化。加强数据分析利用。强化项目绩效报告功能，全面展现项目建设成效和管理绩效，揭示财政财务管理中存在的突出问题和薄弱环节，为改进财政财务管理、完善政府治理提供依据。强化项目绩效报告功能，全面展现项目建设成效和管理绩效，揭示财政财务管理中存在的突出问题和薄弱环节，为改进财政财务管理、完善政府治理提供依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b/>
          <w:bCs/>
          <w:color w:val="auto"/>
          <w:sz w:val="28"/>
          <w:szCs w:val="28"/>
          <w:lang w:val="en-US" w:eastAsia="zh-CN"/>
        </w:rPr>
      </w:pPr>
      <w:r>
        <w:rPr>
          <w:rFonts w:hint="eastAsia"/>
          <w:b/>
          <w:bCs/>
          <w:color w:val="auto"/>
          <w:sz w:val="28"/>
          <w:szCs w:val="28"/>
          <w:lang w:val="en-US" w:eastAsia="zh-CN"/>
        </w:rPr>
        <w:t>对预算安排与执行的建议：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color w:val="auto"/>
          <w:sz w:val="28"/>
          <w:szCs w:val="28"/>
          <w:lang w:val="en-US" w:eastAsia="zh-CN"/>
        </w:rPr>
      </w:pPr>
      <w:r>
        <w:rPr>
          <w:rFonts w:hint="default"/>
          <w:color w:val="auto"/>
          <w:sz w:val="28"/>
          <w:szCs w:val="28"/>
          <w:lang w:val="en-US" w:eastAsia="zh-CN"/>
        </w:rPr>
        <w:t>应强化部门预算约束意识，预算编制要科学严谨，预算安排应严格按照财政批复的预算科目和数额执行。突出重点、确保安全。要严格按照财政部《关于加强与规范财政资金专户管理的通知》和省财政厅《转发财政部关于加强与规范财政资金专户管理的通知》要求进行资金安全管理。首先是将财政资金专户资金由国库科负责管理、对户资金实行“统一开户、统一审拨、分户记帐、集中核算”，专户资金管理严格遵守专款专用的原则，严禁超越资金使用范围和用途，无违规调配挪用专项资金；二是专户资金的财务核算设会计和出纳两个岗位，会计和出纳相互分离，跨单位科室设立。</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b/>
          <w:bCs/>
          <w:color w:val="auto"/>
          <w:sz w:val="28"/>
          <w:szCs w:val="28"/>
          <w:lang w:val="en-US" w:eastAsia="zh-CN"/>
        </w:rPr>
      </w:pPr>
      <w:r>
        <w:rPr>
          <w:rFonts w:hint="eastAsia"/>
          <w:b/>
          <w:bCs/>
          <w:color w:val="auto"/>
          <w:sz w:val="28"/>
          <w:szCs w:val="28"/>
          <w:lang w:val="en-US" w:eastAsia="zh-CN"/>
        </w:rPr>
        <w:t>对资金管理的建议：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color w:val="auto"/>
          <w:sz w:val="28"/>
          <w:szCs w:val="28"/>
          <w:lang w:val="en-US" w:eastAsia="zh-CN"/>
        </w:rPr>
      </w:pPr>
      <w:r>
        <w:rPr>
          <w:rFonts w:hint="default"/>
          <w:color w:val="auto"/>
          <w:sz w:val="28"/>
          <w:szCs w:val="28"/>
          <w:lang w:val="en-US" w:eastAsia="zh-CN"/>
        </w:rPr>
        <w:t>加强项目管理，切实按照项目“事前、事中、事后”跟踪开展，责任落实到人，实行项目责任追究终身制。强化财务部门与业务部门的协同配合，全面、细致考量项目的实施内容，根据核心职能活动对预算支出项目进行归集或细化。根据历年的预算支出项目的执行情况、价格上涨水平等多种因素审核确定项目支出预算项目完整性、合理性。统筹考虑下年度工作任务和上年度经费使用情况，提高预算编制的科学性；进一步健全完善财务管理制度。在资金使用过程中，严把监督审核关，</w:t>
      </w:r>
      <w:r>
        <w:rPr>
          <w:rFonts w:hint="default"/>
          <w:color w:val="auto"/>
          <w:sz w:val="28"/>
          <w:szCs w:val="28"/>
          <w:lang w:val="en-US" w:eastAsia="zh-CN"/>
        </w:rPr>
        <w:t>建立健全</w:t>
      </w:r>
      <w:r>
        <w:rPr>
          <w:rFonts w:hint="default"/>
          <w:color w:val="auto"/>
          <w:sz w:val="28"/>
          <w:szCs w:val="28"/>
          <w:lang w:val="en-US" w:eastAsia="zh-CN"/>
        </w:rPr>
        <w:t>内部审批制度。对每笔用款申请，在所附资料齐备的情况下，审核确认后再付款。同时，财务做到定期或不定期对资金使用、管理情况进行自查和检查，做到财务会计资料信息真实、及时、完整，资金的拨付有完整的审批程序和手续，各项制度执行落实较好，资金使用较为安全规范。</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b/>
          <w:bCs/>
          <w:color w:val="auto"/>
          <w:sz w:val="28"/>
          <w:szCs w:val="28"/>
          <w:lang w:val="en-US" w:eastAsia="zh-CN"/>
        </w:rPr>
      </w:pPr>
      <w:r>
        <w:rPr>
          <w:rFonts w:hint="eastAsia"/>
          <w:b/>
          <w:bCs/>
          <w:color w:val="auto"/>
          <w:sz w:val="28"/>
          <w:szCs w:val="28"/>
          <w:lang w:val="en-US" w:eastAsia="zh-CN"/>
        </w:rPr>
        <w:t>项目管理的建议：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color w:val="auto"/>
          <w:sz w:val="28"/>
          <w:szCs w:val="28"/>
          <w:lang w:val="en-US" w:eastAsia="zh-CN"/>
        </w:rPr>
      </w:pPr>
      <w:r>
        <w:rPr>
          <w:rFonts w:hint="default"/>
          <w:color w:val="auto"/>
          <w:sz w:val="28"/>
          <w:szCs w:val="28"/>
          <w:lang w:val="en-US" w:eastAsia="zh-CN"/>
        </w:rPr>
        <w:t>项目资金管理，严格执行请、拨款制度，实行项目资金专款专用，专户管理，专帐核算制度。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建立项目资金管理领导责任制和会计核算制，并自觉接受财政、审计纪检和上级财务主管部门的监督检查，强化项目资金的管理和监督。按照事前审核、事中监控、事后检查的要求，建立健全项目资金跟踪检查制度和重大问题上的上报制度，定期不定期地开展项目资金专项检查，全程跟踪检查各项项目资金的拨付、使用情况，对发现的资金管理方面的重大问题及时上报。</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b/>
          <w:bCs/>
          <w:color w:val="auto"/>
          <w:sz w:val="28"/>
          <w:szCs w:val="28"/>
          <w:lang w:val="en-US" w:eastAsia="zh-CN"/>
        </w:rPr>
      </w:pPr>
      <w:r>
        <w:rPr>
          <w:rFonts w:hint="eastAsia"/>
          <w:b/>
          <w:bCs/>
          <w:color w:val="auto"/>
          <w:sz w:val="28"/>
          <w:szCs w:val="28"/>
          <w:lang w:val="en-US" w:eastAsia="zh-CN"/>
        </w:rPr>
        <w:t>备注</w:t>
      </w:r>
    </w:p>
    <w:p>
      <w:pPr>
        <w:pStyle w:val="PlainText"/>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color w:val="auto"/>
          <w:sz w:val="28"/>
          <w:szCs w:val="28"/>
          <w:lang w:val="en-US" w:eastAsia="zh-CN"/>
        </w:rPr>
      </w:pPr>
      <w:r>
        <w:rPr>
          <w:rFonts w:hint="default"/>
          <w:color w:val="auto"/>
          <w:sz w:val="28"/>
          <w:szCs w:val="28"/>
          <w:lang w:val="en-US" w:eastAsia="zh-CN"/>
        </w:rPr>
        <w:t>项目预算执行率为：98.87%，总体完成率为：99%，偏差率为：0.13%，造成偏差的原因是：由于部分公益林管户人员辞职，导致一部分公益林管户劳务报酬预算的结余。</w:t>
      </w:r>
    </w:p>
    <w:p>
      <w:pPr>
        <w:pStyle w:val="PlainText"/>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color w:val="auto"/>
          <w:sz w:val="28"/>
          <w:szCs w:val="28"/>
          <w:lang w:val="en-US" w:eastAsia="zh-CN"/>
        </w:rPr>
      </w:pPr>
    </w:p>
    <w:p>
      <w:pPr>
        <w:pStyle w:val="PlainText"/>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color w:val="auto"/>
          <w:sz w:val="28"/>
          <w:szCs w:val="28"/>
          <w:lang w:val="en-US" w:eastAsia="zh-CN"/>
        </w:rPr>
      </w:pPr>
    </w:p>
    <w:sectPr>
      <w:pgSz w:w="11906" w:h="16838"/>
      <w:pgMar w:top="2098" w:right="1531" w:bottom="1984" w:left="1531"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45C1BA9"/>
    <w:rsid w:val="15AB1940"/>
    <w:rsid w:val="2353414F"/>
    <w:rsid w:val="24F35837"/>
    <w:rsid w:val="25117AA3"/>
    <w:rsid w:val="2BE6592B"/>
    <w:rsid w:val="3CC85DAD"/>
    <w:rsid w:val="40B3447C"/>
    <w:rsid w:val="447E47FC"/>
    <w:rsid w:val="46AD2BA0"/>
    <w:rsid w:val="4C676B34"/>
    <w:rsid w:val="4E0B0A84"/>
    <w:rsid w:val="534245A7"/>
    <w:rsid w:val="5C907C89"/>
    <w:rsid w:val="60BB19C4"/>
    <w:rsid w:val="62224AC4"/>
    <w:rsid w:val="70B14541"/>
    <w:rsid w:val="7D931D6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PlainText"/>
    <w:qFormat/>
    <w:pPr>
      <w:widowControl w:val="0"/>
      <w:jc w:val="both"/>
    </w:pPr>
    <w:rPr>
      <w:rFonts w:asciiTheme="minorHAnsi" w:eastAsiaTheme="minorEastAsia" w:hAnsiTheme="minorHAnsi" w:cstheme="minorBidi"/>
      <w:kern w:val="2"/>
      <w:sz w:val="21"/>
      <w:szCs w:val="24"/>
      <w:lang w:val="en-US" w:eastAsia="zh-CN" w:bidi="ar-SA"/>
    </w:rPr>
  </w:style>
  <w:style w:type="paragraph" w:styleId="Heading3">
    <w:name w:val="heading 3"/>
    <w:basedOn w:val="Normal"/>
    <w:next w:val="Normal"/>
    <w:semiHidden/>
    <w:unhideWhenUsed/>
    <w:qFormat/>
    <w:pPr>
      <w:spacing w:before="0" w:beforeAutospacing="1" w:after="0" w:afterAutospacing="1"/>
      <w:jc w:val="left"/>
      <w:outlineLvl w:val="2"/>
    </w:pPr>
    <w:rPr>
      <w:rFonts w:ascii="宋体" w:eastAsia="宋体" w:hAnsi="宋体" w:cs="宋体" w:hint="eastAsia"/>
      <w:b/>
      <w:kern w:val="0"/>
      <w:sz w:val="27"/>
      <w:szCs w:val="27"/>
      <w:lang w:val="en-US" w:eastAsia="zh-CN" w:bidi="ar"/>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PlainText">
    <w:name w:val="Plain Text"/>
    <w:basedOn w:val="Normal"/>
    <w:qFormat/>
    <w:rPr>
      <w:rFonts w:ascii="宋体" w:hAnsi="Courier New"/>
      <w:szCs w:val="20"/>
    </w:rPr>
  </w:style>
  <w:style w:type="character" w:styleId="Strong">
    <w:name w:val="Strong"/>
    <w:basedOn w:val="DefaultParagraphFont"/>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Administrator.PC-201301010133</dc:creator>
  <cp:lastModifiedBy>Administrator</cp:lastModifiedBy>
  <cp:revision>0</cp:revision>
  <dcterms:created xsi:type="dcterms:W3CDTF">2023-02-28T02:29:00Z</dcterms:created>
  <dcterms:modified xsi:type="dcterms:W3CDTF">2023-09-25T02:34:49Z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