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spacing w:line="480" w:lineRule="auto"/>
        <w:ind w:firstLine="0" w:firstLineChars="0"/>
        <w:rPr>
          <w:rFonts w:ascii="Times New Roman" w:eastAsia="黑体" w:hAnsi="Times New Roman" w:cs="Times New Roman" w:hint="eastAsia"/>
          <w:b/>
          <w:kern w:val="0"/>
          <w:sz w:val="50"/>
          <w:szCs w:val="50"/>
          <w:lang w:val="en-US" w:eastAsia="zh-CN" w:bidi="en-US"/>
        </w:rPr>
      </w:pPr>
      <w:r>
        <w:rPr>
          <w:rFonts w:ascii="Times New Roman" w:eastAsia="黑体" w:hAnsi="Times New Roman" w:cs="Times New Roman" w:hint="eastAsia"/>
          <w:b/>
          <w:kern w:val="0"/>
          <w:sz w:val="50"/>
          <w:szCs w:val="50"/>
          <w:lang w:val="en-US" w:eastAsia="zh-CN" w:bidi="en-US"/>
        </w:rPr>
        <w:t xml:space="preserve"> </w:t>
      </w:r>
      <w:bookmarkStart w:id="0" w:name="_GoBack"/>
      <w:bookmarkEnd w:id="0"/>
    </w:p>
    <w:p>
      <w:pPr>
        <w:spacing w:line="480" w:lineRule="auto"/>
        <w:ind w:firstLine="0" w:firstLineChars="0"/>
        <w:rPr>
          <w:rFonts w:ascii="Times New Roman" w:eastAsia="黑体" w:hAnsi="Times New Roman" w:cs="Times New Roman"/>
          <w:b/>
          <w:kern w:val="0"/>
          <w:sz w:val="50"/>
          <w:szCs w:val="50"/>
          <w:lang w:bidi="en-US"/>
        </w:rPr>
      </w:pPr>
    </w:p>
    <w:p>
      <w:pPr>
        <w:spacing w:line="480" w:lineRule="auto"/>
        <w:ind w:firstLine="0" w:firstLineChars="0"/>
        <w:rPr>
          <w:rFonts w:ascii="Times New Roman" w:eastAsia="黑体" w:hAnsi="Times New Roman" w:cs="Times New Roman"/>
          <w:b/>
          <w:kern w:val="0"/>
          <w:sz w:val="50"/>
          <w:szCs w:val="50"/>
          <w:lang w:bidi="en-US"/>
        </w:rPr>
      </w:pPr>
    </w:p>
    <w:p>
      <w:pPr>
        <w:spacing w:line="480" w:lineRule="auto"/>
        <w:ind w:firstLine="0" w:firstLineChars="0"/>
        <w:rPr>
          <w:rFonts w:ascii="Times New Roman" w:eastAsia="黑体" w:hAnsi="Times New Roman" w:cs="Times New Roman"/>
          <w:b/>
          <w:kern w:val="0"/>
          <w:sz w:val="50"/>
          <w:szCs w:val="50"/>
          <w:lang w:bidi="en-US"/>
        </w:rPr>
      </w:pPr>
    </w:p>
    <w:p>
      <w:pPr>
        <w:spacing w:line="480" w:lineRule="auto"/>
        <w:ind w:firstLine="0" w:firstLineChars="0"/>
        <w:jc w:val="center"/>
        <w:rPr>
          <w:rFonts w:ascii="Times New Roman" w:eastAsia="黑体" w:hAnsi="Times New Roman" w:cs="Times New Roman"/>
          <w:b/>
          <w:kern w:val="0"/>
          <w:sz w:val="50"/>
          <w:szCs w:val="50"/>
          <w:lang w:bidi="en-US"/>
        </w:rPr>
      </w:pPr>
    </w:p>
    <w:p>
      <w:pPr>
        <w:spacing w:before="120" w:after="120" w:line="480" w:lineRule="auto"/>
        <w:ind w:firstLine="0" w:firstLineChars="0"/>
        <w:jc w:val="center"/>
        <w:rPr>
          <w:rFonts w:ascii="仿宋_GB2312" w:hAnsi="Arial"/>
          <w:b/>
          <w:sz w:val="44"/>
          <w:szCs w:val="44"/>
        </w:rPr>
      </w:pPr>
      <w:r>
        <w:rPr>
          <w:rFonts w:ascii="仿宋_GB2312" w:hAnsi="Arial" w:hint="eastAsia"/>
          <w:b/>
          <w:sz w:val="44"/>
          <w:szCs w:val="44"/>
        </w:rPr>
        <w:t>项目支出绩效评价报告</w:t>
      </w:r>
    </w:p>
    <w:p>
      <w:pPr>
        <w:spacing w:before="120" w:after="120" w:line="480" w:lineRule="auto"/>
        <w:ind w:firstLine="0" w:firstLineChars="0"/>
        <w:jc w:val="center"/>
        <w:rPr>
          <w:rFonts w:ascii="仿宋_GB2312" w:hAnsi="Arial"/>
          <w:b/>
          <w:sz w:val="44"/>
          <w:szCs w:val="44"/>
        </w:rPr>
      </w:pPr>
      <w:r>
        <w:rPr>
          <w:rFonts w:ascii="仿宋_GB2312" w:hAnsi="Arial" w:hint="eastAsia"/>
          <w:b/>
          <w:sz w:val="44"/>
          <w:szCs w:val="44"/>
        </w:rPr>
        <w:t>（202</w:t>
      </w:r>
      <w:r>
        <w:rPr>
          <w:rFonts w:ascii="仿宋_GB2312" w:hAnsi="Arial"/>
          <w:b/>
          <w:sz w:val="44"/>
          <w:szCs w:val="44"/>
        </w:rPr>
        <w:t>2</w:t>
      </w:r>
      <w:r>
        <w:rPr>
          <w:rFonts w:ascii="仿宋_GB2312" w:hAnsi="Arial" w:hint="eastAsia"/>
          <w:b/>
          <w:sz w:val="44"/>
          <w:szCs w:val="44"/>
        </w:rPr>
        <w:t>年度）</w:t>
      </w:r>
    </w:p>
    <w:p>
      <w:pPr>
        <w:spacing w:line="480" w:lineRule="auto"/>
        <w:ind w:firstLine="0" w:firstLineChars="0"/>
        <w:jc w:val="center"/>
        <w:rPr>
          <w:rFonts w:ascii="Times New Roman" w:eastAsia="黑体" w:hAnsi="Times New Roman" w:cs="Times New Roman"/>
          <w:b/>
          <w:kern w:val="0"/>
          <w:sz w:val="50"/>
          <w:szCs w:val="50"/>
          <w:lang w:bidi="en-US"/>
        </w:rPr>
      </w:pPr>
    </w:p>
    <w:p>
      <w:pPr>
        <w:spacing w:line="480" w:lineRule="auto"/>
        <w:ind w:firstLine="0" w:firstLineChars="0"/>
        <w:jc w:val="center"/>
        <w:rPr>
          <w:rFonts w:ascii="Times New Roman" w:eastAsia="黑体" w:hAnsi="Times New Roman" w:cs="Times New Roman"/>
          <w:b/>
          <w:kern w:val="0"/>
          <w:sz w:val="50"/>
          <w:szCs w:val="50"/>
          <w:lang w:bidi="en-US"/>
        </w:rPr>
      </w:pPr>
    </w:p>
    <w:p>
      <w:pPr>
        <w:spacing w:line="480" w:lineRule="auto"/>
        <w:ind w:firstLine="0" w:firstLineChars="0"/>
        <w:jc w:val="center"/>
        <w:rPr>
          <w:rFonts w:ascii="Times New Roman" w:eastAsia="黑体" w:hAnsi="Times New Roman" w:cs="Times New Roman"/>
          <w:b/>
          <w:kern w:val="0"/>
          <w:sz w:val="50"/>
          <w:szCs w:val="50"/>
          <w:lang w:bidi="en-US"/>
        </w:rPr>
      </w:pPr>
    </w:p>
    <w:p>
      <w:pPr>
        <w:spacing w:line="480" w:lineRule="auto"/>
        <w:ind w:firstLine="0" w:firstLineChars="0"/>
        <w:jc w:val="center"/>
        <w:rPr>
          <w:rFonts w:ascii="Times New Roman" w:eastAsia="黑体" w:hAnsi="Times New Roman" w:cs="Times New Roman"/>
          <w:b/>
          <w:kern w:val="0"/>
          <w:sz w:val="50"/>
          <w:szCs w:val="50"/>
          <w:lang w:bidi="en-US"/>
        </w:rPr>
      </w:pPr>
    </w:p>
    <w:p>
      <w:pPr>
        <w:spacing w:line="480" w:lineRule="auto"/>
        <w:ind w:firstLine="0" w:firstLineChars="0"/>
        <w:jc w:val="center"/>
        <w:rPr>
          <w:rFonts w:ascii="Times New Roman" w:eastAsia="黑体" w:hAnsi="Times New Roman" w:cs="Times New Roman"/>
          <w:b/>
          <w:kern w:val="0"/>
          <w:sz w:val="50"/>
          <w:szCs w:val="50"/>
          <w:lang w:bidi="en-US"/>
        </w:rPr>
      </w:pPr>
    </w:p>
    <w:p>
      <w:pPr>
        <w:spacing w:line="480" w:lineRule="auto"/>
        <w:ind w:firstLine="0" w:firstLineChars="0"/>
        <w:jc w:val="center"/>
        <w:rPr>
          <w:rFonts w:ascii="Times New Roman" w:eastAsia="黑体" w:hAnsi="Times New Roman" w:cs="Times New Roman"/>
          <w:b/>
          <w:kern w:val="0"/>
          <w:sz w:val="50"/>
          <w:szCs w:val="50"/>
          <w:lang w:bidi="en-US"/>
        </w:rPr>
      </w:pPr>
    </w:p>
    <w:p>
      <w:pPr>
        <w:spacing w:line="480" w:lineRule="auto"/>
        <w:ind w:firstLine="0" w:firstLineChars="0"/>
        <w:jc w:val="center"/>
        <w:rPr>
          <w:rFonts w:ascii="仿宋_GB2312" w:hAnsi="Times New Roman" w:cs="Times New Roman"/>
          <w:kern w:val="0"/>
          <w:sz w:val="30"/>
          <w:szCs w:val="30"/>
          <w:lang w:bidi="en-US"/>
        </w:rPr>
      </w:pPr>
    </w:p>
    <w:p>
      <w:pPr>
        <w:spacing w:line="480" w:lineRule="auto"/>
        <w:ind w:firstLine="1411" w:firstLineChars="44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项目名称：</w:t>
      </w:r>
      <w:r>
        <w:rPr>
          <w:rFonts w:ascii="仿宋_GB2312" w:hAnsi="Times New Roman" w:cs="Times New Roman"/>
          <w:kern w:val="0"/>
          <w:sz w:val="32"/>
          <w:szCs w:val="32"/>
          <w:lang w:bidi="en-US"/>
        </w:rPr>
        <w:t xml:space="preserve"> </w:t>
      </w:r>
      <w:r>
        <w:rPr>
          <w:rFonts w:ascii="仿宋" w:eastAsia="仿宋" w:hAnsi="仿宋"/>
          <w:sz w:val="32"/>
          <w:szCs w:val="32"/>
        </w:rPr>
        <w:t>202</w:t>
      </w:r>
      <w:r>
        <w:rPr>
          <w:rFonts w:ascii="仿宋" w:eastAsia="仿宋" w:hAnsi="仿宋" w:hint="eastAsia"/>
          <w:sz w:val="32"/>
          <w:szCs w:val="32"/>
        </w:rPr>
        <w:t>2年春秋季征集新兵经费</w:t>
      </w:r>
    </w:p>
    <w:p>
      <w:pPr>
        <w:spacing w:line="480" w:lineRule="auto"/>
        <w:ind w:firstLine="1411" w:firstLineChars="44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实施单位（公章）：</w:t>
      </w:r>
      <w:r>
        <w:rPr>
          <w:rFonts w:ascii="仿宋" w:eastAsia="仿宋" w:hAnsi="仿宋" w:hint="eastAsia"/>
          <w:sz w:val="32"/>
          <w:szCs w:val="32"/>
        </w:rPr>
        <w:t>乌苏市人民武装部</w:t>
      </w:r>
    </w:p>
    <w:p>
      <w:pPr>
        <w:spacing w:line="480" w:lineRule="auto"/>
        <w:ind w:firstLine="1411" w:firstLineChars="44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主管部门（公章）：</w:t>
      </w:r>
      <w:r>
        <w:rPr>
          <w:rFonts w:ascii="仿宋" w:eastAsia="仿宋" w:hAnsi="仿宋" w:hint="eastAsia"/>
          <w:sz w:val="32"/>
          <w:szCs w:val="32"/>
        </w:rPr>
        <w:t>乌苏市人民武装部</w:t>
      </w:r>
    </w:p>
    <w:p>
      <w:pPr>
        <w:spacing w:line="480" w:lineRule="auto"/>
        <w:ind w:firstLine="1411" w:firstLineChars="44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项目负责人（签章）：韩再胜</w:t>
      </w:r>
      <w:r>
        <w:rPr>
          <w:rFonts w:ascii="仿宋_GB2312" w:hAnsi="Times New Roman" w:cs="Times New Roman"/>
          <w:kern w:val="0"/>
          <w:sz w:val="32"/>
          <w:szCs w:val="32"/>
          <w:lang w:bidi="en-US"/>
        </w:rPr>
        <w:t xml:space="preserve"> </w:t>
      </w:r>
    </w:p>
    <w:p>
      <w:pPr>
        <w:spacing w:line="480" w:lineRule="auto"/>
        <w:ind w:firstLine="1411" w:firstLineChars="44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填报时间：202</w:t>
      </w:r>
      <w:r>
        <w:rPr>
          <w:rFonts w:ascii="仿宋_GB2312" w:hAnsi="Times New Roman" w:cs="Times New Roman"/>
          <w:kern w:val="0"/>
          <w:sz w:val="32"/>
          <w:szCs w:val="32"/>
          <w:lang w:bidi="en-US"/>
        </w:rPr>
        <w:t>3</w:t>
      </w:r>
      <w:r>
        <w:rPr>
          <w:rFonts w:ascii="仿宋_GB2312" w:hAnsi="Times New Roman" w:cs="Times New Roman" w:hint="eastAsia"/>
          <w:kern w:val="0"/>
          <w:sz w:val="32"/>
          <w:szCs w:val="32"/>
          <w:lang w:bidi="en-US"/>
        </w:rPr>
        <w:t>年</w:t>
      </w:r>
      <w:r>
        <w:rPr>
          <w:rFonts w:ascii="仿宋_GB2312" w:hAnsi="Times New Roman" w:cs="Times New Roman"/>
          <w:kern w:val="0"/>
          <w:sz w:val="32"/>
          <w:szCs w:val="32"/>
          <w:lang w:bidi="en-US"/>
        </w:rPr>
        <w:t>2</w:t>
      </w:r>
      <w:r>
        <w:rPr>
          <w:rFonts w:ascii="仿宋_GB2312" w:hAnsi="Times New Roman" w:cs="Times New Roman" w:hint="eastAsia"/>
          <w:kern w:val="0"/>
          <w:sz w:val="32"/>
          <w:szCs w:val="32"/>
          <w:lang w:bidi="en-US"/>
        </w:rPr>
        <w:t>月</w:t>
      </w:r>
    </w:p>
    <w:p>
      <w:pPr>
        <w:ind w:firstLine="640"/>
        <w:rPr>
          <w:rFonts w:ascii="仿宋_GB2312" w:hAnsi="Times New Roman" w:cs="Times New Roman"/>
          <w:kern w:val="0"/>
          <w:sz w:val="32"/>
          <w:szCs w:val="32"/>
          <w:lang w:bidi="en-US"/>
        </w:rPr>
      </w:pPr>
    </w:p>
    <w:p>
      <w:pPr>
        <w:ind w:firstLine="640"/>
        <w:rPr>
          <w:rFonts w:ascii="仿宋_GB2312" w:hAnsi="Times New Roman" w:cs="Times New Roman"/>
          <w:sz w:val="32"/>
          <w:szCs w:val="32"/>
          <w:lang w:bidi="en-US"/>
        </w:rPr>
        <w:sectPr>
          <w:headerReference w:type="even" r:id="rId5"/>
          <w:headerReference w:type="default" r:id="rId6"/>
          <w:footerReference w:type="even" r:id="rId7"/>
          <w:footerReference w:type="default" r:id="rId8"/>
          <w:headerReference w:type="first" r:id="rId9"/>
          <w:footerReference w:type="first" r:id="rId10"/>
          <w:pgSz w:w="11906" w:h="16838"/>
          <w:pgMar w:top="1440" w:right="1800" w:bottom="1440" w:left="1800" w:header="851" w:footer="992" w:gutter="0"/>
          <w:cols w:num="1" w:space="720"/>
          <w:docGrid w:type="lines" w:linePitch="312" w:charSpace="0"/>
        </w:sectPr>
      </w:pPr>
    </w:p>
    <w:p>
      <w:pPr>
        <w:tabs>
          <w:tab w:val="left" w:pos="1224"/>
        </w:tabs>
        <w:ind w:firstLine="0" w:firstLineChars="0"/>
        <w:jc w:val="center"/>
        <w:rPr>
          <w:rStyle w:val="CommentReference"/>
        </w:rPr>
      </w:pPr>
      <w:r>
        <w:rPr>
          <w:rFonts w:hint="eastAsia"/>
          <w:b/>
          <w:bCs/>
        </w:rPr>
        <w:t xml:space="preserve">目 </w:t>
      </w:r>
      <w:r>
        <w:rPr>
          <w:b/>
          <w:bCs/>
        </w:rPr>
        <w:t xml:space="preserve"> </w:t>
      </w:r>
      <w:r>
        <w:rPr>
          <w:rFonts w:hint="eastAsia"/>
          <w:b/>
          <w:bCs/>
        </w:rPr>
        <w:t>录</w:t>
      </w:r>
    </w:p>
    <w:p>
      <w:pPr>
        <w:ind w:firstLine="0" w:firstLineChars="0"/>
        <w:jc w:val="center"/>
      </w:pPr>
    </w:p>
    <w:p>
      <w:pPr>
        <w:pStyle w:val="WPSOffice1"/>
        <w:tabs>
          <w:tab w:val="right" w:leader="dot" w:pos="8306"/>
        </w:tabs>
        <w:spacing w:line="560" w:lineRule="exact"/>
        <w:rPr>
          <w:rFonts w:ascii="仿宋" w:eastAsia="仿宋" w:hAnsi="仿宋" w:cs="仿宋"/>
          <w:b/>
          <w:sz w:val="32"/>
          <w:szCs w:val="32"/>
        </w:rPr>
      </w:pPr>
      <w:r>
        <w:rPr>
          <w:rFonts w:ascii="仿宋" w:eastAsia="仿宋" w:hAnsi="仿宋" w:cs="仿宋" w:hint="eastAsia"/>
          <w:sz w:val="36"/>
          <w:szCs w:val="36"/>
        </w:rPr>
        <w:fldChar w:fldCharType="begin"/>
      </w:r>
      <w:r>
        <w:rPr>
          <w:rStyle w:val="CommentReference"/>
          <w:rFonts w:ascii="仿宋" w:eastAsia="仿宋" w:hAnsi="仿宋" w:cs="仿宋" w:hint="eastAsia"/>
          <w:sz w:val="36"/>
          <w:szCs w:val="36"/>
        </w:rPr>
        <w:instrText xml:space="preserve">TOC \o "1-2" \h \u </w:instrText>
      </w:r>
      <w:r>
        <w:rPr>
          <w:rFonts w:ascii="仿宋" w:eastAsia="仿宋" w:hAnsi="仿宋" w:cs="仿宋" w:hint="eastAsia"/>
          <w:sz w:val="36"/>
          <w:szCs w:val="36"/>
        </w:rPr>
        <w:fldChar w:fldCharType="separate"/>
      </w:r>
      <w:hyperlink w:anchor="_Toc13154" w:history="1">
        <w:r>
          <w:rPr>
            <w:rFonts w:ascii="仿宋" w:eastAsia="仿宋" w:hAnsi="仿宋" w:cs="仿宋" w:hint="eastAsia"/>
            <w:b/>
            <w:bCs/>
            <w:sz w:val="32"/>
            <w:szCs w:val="52"/>
            <w:lang w:bidi="en-US"/>
          </w:rPr>
          <w:t>一、基本情况</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_Toc13154 </w:instrText>
        </w:r>
        <w:r>
          <w:rPr>
            <w:rFonts w:ascii="仿宋" w:eastAsia="仿宋" w:hAnsi="仿宋" w:cs="仿宋" w:hint="eastAsia"/>
            <w:b/>
            <w:sz w:val="32"/>
            <w:szCs w:val="32"/>
          </w:rPr>
          <w:fldChar w:fldCharType="separate"/>
        </w:r>
        <w:r>
          <w:rPr>
            <w:rFonts w:ascii="仿宋" w:eastAsia="仿宋" w:hAnsi="仿宋" w:cs="仿宋" w:hint="eastAsia"/>
            <w:b/>
            <w:sz w:val="32"/>
            <w:szCs w:val="32"/>
          </w:rPr>
          <w:t>2</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sz w:val="32"/>
          <w:szCs w:val="32"/>
        </w:rPr>
      </w:pPr>
      <w:hyperlink w:anchor="_Toc2044" w:history="1">
        <w:r>
          <w:rPr>
            <w:rFonts w:ascii="仿宋" w:eastAsia="仿宋" w:hAnsi="仿宋" w:cs="仿宋" w:hint="eastAsia"/>
            <w:bCs/>
            <w:sz w:val="32"/>
            <w:szCs w:val="48"/>
            <w:lang w:bidi="en-US"/>
          </w:rPr>
          <w:t>（一）项目概况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_Toc2044 </w:instrText>
        </w:r>
        <w:r>
          <w:rPr>
            <w:rFonts w:ascii="仿宋" w:eastAsia="仿宋" w:hAnsi="仿宋" w:cs="仿宋" w:hint="eastAsia"/>
            <w:sz w:val="32"/>
            <w:szCs w:val="32"/>
          </w:rPr>
          <w:fldChar w:fldCharType="separate"/>
        </w:r>
        <w:r>
          <w:rPr>
            <w:rFonts w:ascii="仿宋" w:eastAsia="仿宋" w:hAnsi="仿宋" w:cs="仿宋" w:hint="eastAsia"/>
            <w:sz w:val="32"/>
            <w:szCs w:val="32"/>
          </w:rPr>
          <w:t>3</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sz w:val="32"/>
          <w:szCs w:val="32"/>
        </w:rPr>
      </w:pPr>
      <w:hyperlink w:anchor="_Toc4316" w:history="1">
        <w:r>
          <w:rPr>
            <w:rFonts w:ascii="仿宋" w:eastAsia="仿宋" w:hAnsi="仿宋" w:cs="仿宋" w:hint="eastAsia"/>
            <w:bCs/>
            <w:sz w:val="32"/>
            <w:szCs w:val="48"/>
            <w:lang w:bidi="en-US"/>
          </w:rPr>
          <w:t>（二）项目绩效目标</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_Toc4316 </w:instrText>
        </w:r>
        <w:r>
          <w:rPr>
            <w:rFonts w:ascii="仿宋" w:eastAsia="仿宋" w:hAnsi="仿宋" w:cs="仿宋" w:hint="eastAsia"/>
            <w:sz w:val="32"/>
            <w:szCs w:val="32"/>
          </w:rPr>
          <w:fldChar w:fldCharType="separate"/>
        </w:r>
        <w:r>
          <w:rPr>
            <w:rFonts w:ascii="仿宋" w:eastAsia="仿宋" w:hAnsi="仿宋" w:cs="仿宋" w:hint="eastAsia"/>
            <w:sz w:val="32"/>
            <w:szCs w:val="32"/>
          </w:rPr>
          <w:t>4</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b/>
          <w:sz w:val="32"/>
          <w:szCs w:val="32"/>
        </w:rPr>
      </w:pPr>
      <w:hyperlink w:anchor="_Toc7851" w:history="1">
        <w:r>
          <w:rPr>
            <w:rFonts w:ascii="仿宋" w:eastAsia="仿宋" w:hAnsi="仿宋" w:cs="仿宋" w:hint="eastAsia"/>
            <w:b/>
            <w:bCs/>
            <w:sz w:val="32"/>
            <w:szCs w:val="52"/>
          </w:rPr>
          <w:t>二、绩效评价工作开展情况</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_Toc7851 </w:instrText>
        </w:r>
        <w:r>
          <w:rPr>
            <w:rFonts w:ascii="仿宋" w:eastAsia="仿宋" w:hAnsi="仿宋" w:cs="仿宋" w:hint="eastAsia"/>
            <w:b/>
            <w:sz w:val="32"/>
            <w:szCs w:val="32"/>
          </w:rPr>
          <w:fldChar w:fldCharType="separate"/>
        </w:r>
        <w:r>
          <w:rPr>
            <w:rFonts w:ascii="仿宋" w:eastAsia="仿宋" w:hAnsi="仿宋" w:cs="仿宋" w:hint="eastAsia"/>
            <w:b/>
            <w:sz w:val="32"/>
            <w:szCs w:val="32"/>
          </w:rPr>
          <w:t>4</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sz w:val="32"/>
          <w:szCs w:val="32"/>
        </w:rPr>
      </w:pPr>
      <w:hyperlink w:anchor="_Toc20568" w:history="1">
        <w:r>
          <w:rPr>
            <w:rFonts w:ascii="仿宋" w:eastAsia="仿宋" w:hAnsi="仿宋" w:cs="仿宋" w:hint="eastAsia"/>
            <w:bCs/>
            <w:sz w:val="32"/>
            <w:szCs w:val="48"/>
          </w:rPr>
          <w:t>（一）绩效评价目的、对象和范围</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_Toc20568 </w:instrText>
        </w:r>
        <w:r>
          <w:rPr>
            <w:rFonts w:ascii="仿宋" w:eastAsia="仿宋" w:hAnsi="仿宋" w:cs="仿宋" w:hint="eastAsia"/>
            <w:sz w:val="32"/>
            <w:szCs w:val="32"/>
          </w:rPr>
          <w:fldChar w:fldCharType="separate"/>
        </w:r>
        <w:r>
          <w:rPr>
            <w:rFonts w:ascii="仿宋" w:eastAsia="仿宋" w:hAnsi="仿宋" w:cs="仿宋" w:hint="eastAsia"/>
            <w:sz w:val="32"/>
            <w:szCs w:val="32"/>
          </w:rPr>
          <w:t>4</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sz w:val="32"/>
          <w:szCs w:val="32"/>
        </w:rPr>
      </w:pPr>
      <w:hyperlink w:anchor="_Toc23646" w:history="1">
        <w:r>
          <w:rPr>
            <w:rFonts w:ascii="仿宋" w:eastAsia="仿宋" w:hAnsi="仿宋" w:cs="仿宋" w:hint="eastAsia"/>
            <w:bCs/>
            <w:sz w:val="32"/>
            <w:szCs w:val="32"/>
          </w:rPr>
          <w:t>（二）绩效评价原则、指标体系、方法及标准</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_Toc23646 </w:instrText>
        </w:r>
        <w:r>
          <w:rPr>
            <w:rFonts w:ascii="仿宋" w:eastAsia="仿宋" w:hAnsi="仿宋" w:cs="仿宋" w:hint="eastAsia"/>
            <w:sz w:val="32"/>
            <w:szCs w:val="32"/>
          </w:rPr>
          <w:fldChar w:fldCharType="separate"/>
        </w:r>
        <w:r>
          <w:rPr>
            <w:rFonts w:ascii="仿宋" w:eastAsia="仿宋" w:hAnsi="仿宋" w:cs="仿宋" w:hint="eastAsia"/>
            <w:sz w:val="32"/>
            <w:szCs w:val="32"/>
          </w:rPr>
          <w:t>5</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sz w:val="32"/>
          <w:szCs w:val="32"/>
        </w:rPr>
      </w:pPr>
      <w:hyperlink w:anchor="_Toc12695" w:history="1">
        <w:r>
          <w:rPr>
            <w:rFonts w:ascii="仿宋" w:eastAsia="仿宋" w:hAnsi="仿宋" w:cs="仿宋" w:hint="eastAsia"/>
            <w:bCs/>
            <w:sz w:val="32"/>
            <w:szCs w:val="32"/>
          </w:rPr>
          <w:t>（三）绩效评价工作过程</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_Toc12695 </w:instrText>
        </w:r>
        <w:r>
          <w:rPr>
            <w:rFonts w:ascii="仿宋" w:eastAsia="仿宋" w:hAnsi="仿宋" w:cs="仿宋" w:hint="eastAsia"/>
            <w:sz w:val="32"/>
            <w:szCs w:val="32"/>
          </w:rPr>
          <w:fldChar w:fldCharType="separate"/>
        </w:r>
        <w:r>
          <w:rPr>
            <w:rFonts w:ascii="仿宋" w:eastAsia="仿宋" w:hAnsi="仿宋" w:cs="仿宋" w:hint="eastAsia"/>
            <w:sz w:val="32"/>
            <w:szCs w:val="32"/>
          </w:rPr>
          <w:t>7</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b/>
          <w:sz w:val="32"/>
          <w:szCs w:val="32"/>
        </w:rPr>
      </w:pPr>
      <w:hyperlink w:anchor="_Toc28860" w:history="1">
        <w:r>
          <w:rPr>
            <w:rFonts w:ascii="仿宋" w:eastAsia="仿宋" w:hAnsi="仿宋" w:cs="仿宋" w:hint="eastAsia"/>
            <w:b/>
            <w:bCs/>
            <w:sz w:val="32"/>
            <w:szCs w:val="52"/>
          </w:rPr>
          <w:t>三、综合评价情况及评价结论</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_Toc28860 </w:instrText>
        </w:r>
        <w:r>
          <w:rPr>
            <w:rFonts w:ascii="仿宋" w:eastAsia="仿宋" w:hAnsi="仿宋" w:cs="仿宋" w:hint="eastAsia"/>
            <w:b/>
            <w:sz w:val="32"/>
            <w:szCs w:val="32"/>
          </w:rPr>
          <w:fldChar w:fldCharType="separate"/>
        </w:r>
        <w:r>
          <w:rPr>
            <w:rFonts w:ascii="仿宋" w:eastAsia="仿宋" w:hAnsi="仿宋" w:cs="仿宋" w:hint="eastAsia"/>
            <w:b/>
            <w:sz w:val="32"/>
            <w:szCs w:val="32"/>
          </w:rPr>
          <w:t>7</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sz w:val="32"/>
          <w:szCs w:val="32"/>
        </w:rPr>
      </w:pPr>
      <w:hyperlink w:anchor="_Toc14030" w:history="1">
        <w:r>
          <w:rPr>
            <w:rFonts w:ascii="仿宋" w:eastAsia="仿宋" w:hAnsi="仿宋" w:cs="仿宋" w:hint="eastAsia"/>
            <w:bCs/>
            <w:sz w:val="32"/>
            <w:szCs w:val="48"/>
          </w:rPr>
          <w:t>（一）评价结论</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_Toc14030 </w:instrText>
        </w:r>
        <w:r>
          <w:rPr>
            <w:rFonts w:ascii="仿宋" w:eastAsia="仿宋" w:hAnsi="仿宋" w:cs="仿宋" w:hint="eastAsia"/>
            <w:sz w:val="32"/>
            <w:szCs w:val="32"/>
          </w:rPr>
          <w:fldChar w:fldCharType="separate"/>
        </w:r>
        <w:r>
          <w:rPr>
            <w:rFonts w:ascii="仿宋" w:eastAsia="仿宋" w:hAnsi="仿宋" w:cs="仿宋" w:hint="eastAsia"/>
            <w:sz w:val="32"/>
            <w:szCs w:val="32"/>
          </w:rPr>
          <w:t>7</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sz w:val="32"/>
          <w:szCs w:val="32"/>
        </w:rPr>
      </w:pPr>
      <w:hyperlink w:anchor="_Toc23106" w:history="1">
        <w:r>
          <w:rPr>
            <w:rFonts w:ascii="仿宋" w:eastAsia="仿宋" w:hAnsi="仿宋" w:cs="仿宋" w:hint="eastAsia"/>
            <w:bCs/>
            <w:sz w:val="32"/>
            <w:szCs w:val="48"/>
          </w:rPr>
          <w:t>（二）主要绩效</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_Toc23106 </w:instrText>
        </w:r>
        <w:r>
          <w:rPr>
            <w:rFonts w:ascii="仿宋" w:eastAsia="仿宋" w:hAnsi="仿宋" w:cs="仿宋" w:hint="eastAsia"/>
            <w:sz w:val="32"/>
            <w:szCs w:val="32"/>
          </w:rPr>
          <w:fldChar w:fldCharType="separate"/>
        </w:r>
        <w:r>
          <w:rPr>
            <w:rFonts w:ascii="仿宋" w:eastAsia="仿宋" w:hAnsi="仿宋" w:cs="仿宋" w:hint="eastAsia"/>
            <w:sz w:val="32"/>
            <w:szCs w:val="32"/>
          </w:rPr>
          <w:t>7</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b/>
          <w:sz w:val="32"/>
          <w:szCs w:val="32"/>
        </w:rPr>
      </w:pPr>
      <w:hyperlink w:anchor="_Toc20059" w:history="1">
        <w:r>
          <w:rPr>
            <w:rFonts w:ascii="仿宋" w:eastAsia="仿宋" w:hAnsi="仿宋" w:cs="仿宋" w:hint="eastAsia"/>
            <w:b/>
            <w:bCs/>
            <w:sz w:val="32"/>
            <w:szCs w:val="52"/>
          </w:rPr>
          <w:t>四、绩效评价指标分析</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_Toc20059 </w:instrText>
        </w:r>
        <w:r>
          <w:rPr>
            <w:rFonts w:ascii="仿宋" w:eastAsia="仿宋" w:hAnsi="仿宋" w:cs="仿宋" w:hint="eastAsia"/>
            <w:b/>
            <w:sz w:val="32"/>
            <w:szCs w:val="32"/>
          </w:rPr>
          <w:fldChar w:fldCharType="separate"/>
        </w:r>
        <w:r>
          <w:rPr>
            <w:rFonts w:ascii="仿宋" w:eastAsia="仿宋" w:hAnsi="仿宋" w:cs="仿宋" w:hint="eastAsia"/>
            <w:b/>
            <w:sz w:val="32"/>
            <w:szCs w:val="32"/>
          </w:rPr>
          <w:t>7</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sz w:val="32"/>
          <w:szCs w:val="32"/>
        </w:rPr>
      </w:pPr>
      <w:hyperlink w:anchor="_Toc22626" w:history="1">
        <w:r>
          <w:rPr>
            <w:rFonts w:ascii="仿宋" w:eastAsia="仿宋" w:hAnsi="仿宋" w:cs="仿宋" w:hint="eastAsia"/>
            <w:bCs/>
            <w:sz w:val="32"/>
            <w:szCs w:val="48"/>
          </w:rPr>
          <w:t>（一）项目决策情况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_Toc22626 </w:instrText>
        </w:r>
        <w:r>
          <w:rPr>
            <w:rFonts w:ascii="仿宋" w:eastAsia="仿宋" w:hAnsi="仿宋" w:cs="仿宋" w:hint="eastAsia"/>
            <w:sz w:val="32"/>
            <w:szCs w:val="32"/>
          </w:rPr>
          <w:fldChar w:fldCharType="separate"/>
        </w:r>
        <w:r>
          <w:rPr>
            <w:rFonts w:ascii="仿宋" w:eastAsia="仿宋" w:hAnsi="仿宋" w:cs="仿宋" w:hint="eastAsia"/>
            <w:sz w:val="32"/>
            <w:szCs w:val="32"/>
          </w:rPr>
          <w:t>7</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sz w:val="32"/>
          <w:szCs w:val="32"/>
        </w:rPr>
      </w:pPr>
      <w:hyperlink w:anchor="_Toc16968" w:history="1">
        <w:r>
          <w:rPr>
            <w:rFonts w:ascii="仿宋" w:eastAsia="仿宋" w:hAnsi="仿宋" w:cs="仿宋" w:hint="eastAsia"/>
            <w:bCs/>
            <w:sz w:val="32"/>
            <w:szCs w:val="48"/>
          </w:rPr>
          <w:t>（二）项目过程情况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_Toc16968 </w:instrText>
        </w:r>
        <w:r>
          <w:rPr>
            <w:rFonts w:ascii="仿宋" w:eastAsia="仿宋" w:hAnsi="仿宋" w:cs="仿宋" w:hint="eastAsia"/>
            <w:sz w:val="32"/>
            <w:szCs w:val="32"/>
          </w:rPr>
          <w:fldChar w:fldCharType="separate"/>
        </w:r>
        <w:r>
          <w:rPr>
            <w:rFonts w:ascii="仿宋" w:eastAsia="仿宋" w:hAnsi="仿宋" w:cs="仿宋" w:hint="eastAsia"/>
            <w:sz w:val="32"/>
            <w:szCs w:val="32"/>
          </w:rPr>
          <w:t>8</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sz w:val="32"/>
          <w:szCs w:val="32"/>
        </w:rPr>
      </w:pPr>
      <w:hyperlink w:anchor="_Toc31704" w:history="1">
        <w:r>
          <w:rPr>
            <w:rFonts w:ascii="仿宋" w:eastAsia="仿宋" w:hAnsi="仿宋" w:cs="仿宋" w:hint="eastAsia"/>
            <w:bCs/>
            <w:sz w:val="32"/>
            <w:szCs w:val="48"/>
          </w:rPr>
          <w:t>（三）项目产出情况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_Toc31704 </w:instrText>
        </w:r>
        <w:r>
          <w:rPr>
            <w:rFonts w:ascii="仿宋" w:eastAsia="仿宋" w:hAnsi="仿宋" w:cs="仿宋" w:hint="eastAsia"/>
            <w:sz w:val="32"/>
            <w:szCs w:val="32"/>
          </w:rPr>
          <w:fldChar w:fldCharType="separate"/>
        </w:r>
        <w:r>
          <w:rPr>
            <w:rFonts w:ascii="仿宋" w:eastAsia="仿宋" w:hAnsi="仿宋" w:cs="仿宋" w:hint="eastAsia"/>
            <w:sz w:val="32"/>
            <w:szCs w:val="32"/>
          </w:rPr>
          <w:t>9</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sz w:val="32"/>
          <w:szCs w:val="32"/>
        </w:rPr>
      </w:pPr>
      <w:hyperlink w:anchor="_Toc31697" w:history="1">
        <w:r>
          <w:rPr>
            <w:rFonts w:ascii="仿宋" w:eastAsia="仿宋" w:hAnsi="仿宋" w:cs="仿宋" w:hint="eastAsia"/>
            <w:bCs/>
            <w:sz w:val="32"/>
            <w:szCs w:val="48"/>
          </w:rPr>
          <w:t>（四）项目效益情况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_Toc31697 </w:instrText>
        </w:r>
        <w:r>
          <w:rPr>
            <w:rFonts w:ascii="仿宋" w:eastAsia="仿宋" w:hAnsi="仿宋" w:cs="仿宋" w:hint="eastAsia"/>
            <w:sz w:val="32"/>
            <w:szCs w:val="32"/>
          </w:rPr>
          <w:fldChar w:fldCharType="separate"/>
        </w:r>
        <w:r>
          <w:rPr>
            <w:rFonts w:ascii="仿宋" w:eastAsia="仿宋" w:hAnsi="仿宋" w:cs="仿宋" w:hint="eastAsia"/>
            <w:sz w:val="32"/>
            <w:szCs w:val="32"/>
          </w:rPr>
          <w:t>10</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b/>
          <w:sz w:val="32"/>
          <w:szCs w:val="32"/>
        </w:rPr>
      </w:pPr>
      <w:hyperlink w:anchor="_Toc32407" w:history="1">
        <w:r>
          <w:rPr>
            <w:rFonts w:ascii="仿宋" w:eastAsia="仿宋" w:hAnsi="仿宋" w:cs="仿宋" w:hint="eastAsia"/>
            <w:b/>
            <w:bCs/>
            <w:sz w:val="32"/>
            <w:szCs w:val="52"/>
          </w:rPr>
          <w:t>五、预算执行进度与绩效指标偏差</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_Toc32407 </w:instrText>
        </w:r>
        <w:r>
          <w:rPr>
            <w:rFonts w:ascii="仿宋" w:eastAsia="仿宋" w:hAnsi="仿宋" w:cs="仿宋" w:hint="eastAsia"/>
            <w:b/>
            <w:sz w:val="32"/>
            <w:szCs w:val="32"/>
          </w:rPr>
          <w:fldChar w:fldCharType="separate"/>
        </w:r>
        <w:r>
          <w:rPr>
            <w:rFonts w:ascii="仿宋" w:eastAsia="仿宋" w:hAnsi="仿宋" w:cs="仿宋" w:hint="eastAsia"/>
            <w:b/>
            <w:sz w:val="32"/>
            <w:szCs w:val="32"/>
          </w:rPr>
          <w:t>10</w:t>
        </w:r>
        <w:r>
          <w:rPr>
            <w:rFonts w:ascii="仿宋" w:eastAsia="仿宋" w:hAnsi="仿宋" w:cs="仿宋" w:hint="eastAsia"/>
            <w:b/>
            <w:sz w:val="32"/>
            <w:szCs w:val="32"/>
          </w:rPr>
          <w:fldChar w:fldCharType="end"/>
        </w:r>
      </w:hyperlink>
    </w:p>
    <w:p>
      <w:pPr>
        <w:pStyle w:val="WPSOffice1"/>
        <w:tabs>
          <w:tab w:val="right" w:leader="dot" w:pos="8306"/>
        </w:tabs>
        <w:spacing w:line="560" w:lineRule="exact"/>
        <w:rPr>
          <w:rFonts w:ascii="仿宋" w:eastAsia="仿宋" w:hAnsi="仿宋" w:cs="仿宋"/>
          <w:b/>
          <w:sz w:val="32"/>
          <w:szCs w:val="32"/>
        </w:rPr>
      </w:pPr>
      <w:hyperlink w:anchor="_Toc5156" w:history="1">
        <w:r>
          <w:rPr>
            <w:rFonts w:ascii="仿宋" w:eastAsia="仿宋" w:hAnsi="仿宋" w:cs="仿宋" w:hint="eastAsia"/>
            <w:b/>
            <w:bCs/>
            <w:sz w:val="32"/>
            <w:szCs w:val="52"/>
          </w:rPr>
          <w:t>六、主要经验及做法、存在的问题及原因分析</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_Toc5156 </w:instrText>
        </w:r>
        <w:r>
          <w:rPr>
            <w:rFonts w:ascii="仿宋" w:eastAsia="仿宋" w:hAnsi="仿宋" w:cs="仿宋" w:hint="eastAsia"/>
            <w:b/>
            <w:sz w:val="32"/>
            <w:szCs w:val="32"/>
          </w:rPr>
          <w:fldChar w:fldCharType="separate"/>
        </w:r>
        <w:r>
          <w:rPr>
            <w:rFonts w:ascii="仿宋" w:eastAsia="仿宋" w:hAnsi="仿宋" w:cs="仿宋" w:hint="eastAsia"/>
            <w:b/>
            <w:sz w:val="32"/>
            <w:szCs w:val="32"/>
          </w:rPr>
          <w:t>10</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sz w:val="32"/>
          <w:szCs w:val="32"/>
        </w:rPr>
      </w:pPr>
      <w:hyperlink w:anchor="_Toc18450" w:history="1">
        <w:r>
          <w:rPr>
            <w:rFonts w:ascii="仿宋" w:eastAsia="仿宋" w:hAnsi="仿宋" w:cs="仿宋" w:hint="eastAsia"/>
            <w:bCs/>
            <w:sz w:val="32"/>
            <w:szCs w:val="48"/>
          </w:rPr>
          <w:t>（一）主要经验及做法</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_Toc18450 </w:instrText>
        </w:r>
        <w:r>
          <w:rPr>
            <w:rFonts w:ascii="仿宋" w:eastAsia="仿宋" w:hAnsi="仿宋" w:cs="仿宋" w:hint="eastAsia"/>
            <w:sz w:val="32"/>
            <w:szCs w:val="32"/>
          </w:rPr>
          <w:fldChar w:fldCharType="separate"/>
        </w:r>
        <w:r>
          <w:rPr>
            <w:rFonts w:ascii="仿宋" w:eastAsia="仿宋" w:hAnsi="仿宋" w:cs="仿宋" w:hint="eastAsia"/>
            <w:sz w:val="32"/>
            <w:szCs w:val="32"/>
          </w:rPr>
          <w:t>10</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sz w:val="32"/>
          <w:szCs w:val="32"/>
        </w:rPr>
      </w:pPr>
      <w:hyperlink w:anchor="_Toc9205" w:history="1">
        <w:r>
          <w:rPr>
            <w:rFonts w:ascii="仿宋" w:eastAsia="仿宋" w:hAnsi="仿宋" w:cs="仿宋" w:hint="eastAsia"/>
            <w:bCs/>
            <w:sz w:val="32"/>
            <w:szCs w:val="48"/>
          </w:rPr>
          <w:t>（二）存在的问题及原因分析</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_Toc9205 </w:instrText>
        </w:r>
        <w:r>
          <w:rPr>
            <w:rFonts w:ascii="仿宋" w:eastAsia="仿宋" w:hAnsi="仿宋" w:cs="仿宋" w:hint="eastAsia"/>
            <w:sz w:val="32"/>
            <w:szCs w:val="32"/>
          </w:rPr>
          <w:fldChar w:fldCharType="separate"/>
        </w:r>
        <w:r>
          <w:rPr>
            <w:rFonts w:ascii="仿宋" w:eastAsia="仿宋" w:hAnsi="仿宋" w:cs="仿宋" w:hint="eastAsia"/>
            <w:sz w:val="32"/>
            <w:szCs w:val="32"/>
          </w:rPr>
          <w:t>10</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b/>
          <w:sz w:val="32"/>
          <w:szCs w:val="32"/>
        </w:rPr>
      </w:pPr>
      <w:hyperlink w:anchor="_Toc26872" w:history="1">
        <w:r>
          <w:rPr>
            <w:rFonts w:ascii="仿宋" w:eastAsia="仿宋" w:hAnsi="仿宋" w:cs="仿宋" w:hint="eastAsia"/>
            <w:b/>
            <w:bCs/>
            <w:sz w:val="32"/>
            <w:szCs w:val="52"/>
          </w:rPr>
          <w:t>七、其他需要说明的问题</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_Toc26872 </w:instrText>
        </w:r>
        <w:r>
          <w:rPr>
            <w:rFonts w:ascii="仿宋" w:eastAsia="仿宋" w:hAnsi="仿宋" w:cs="仿宋" w:hint="eastAsia"/>
            <w:b/>
            <w:sz w:val="32"/>
            <w:szCs w:val="32"/>
          </w:rPr>
          <w:fldChar w:fldCharType="separate"/>
        </w:r>
        <w:r>
          <w:rPr>
            <w:rFonts w:ascii="仿宋" w:eastAsia="仿宋" w:hAnsi="仿宋" w:cs="仿宋" w:hint="eastAsia"/>
            <w:b/>
            <w:sz w:val="32"/>
            <w:szCs w:val="32"/>
          </w:rPr>
          <w:t>11</w:t>
        </w:r>
        <w:r>
          <w:rPr>
            <w:rFonts w:ascii="仿宋" w:eastAsia="仿宋" w:hAnsi="仿宋" w:cs="仿宋" w:hint="eastAsia"/>
            <w:b/>
            <w:sz w:val="32"/>
            <w:szCs w:val="32"/>
          </w:rPr>
          <w:fldChar w:fldCharType="end"/>
        </w:r>
      </w:hyperlink>
    </w:p>
    <w:p>
      <w:pPr>
        <w:pStyle w:val="WPSOffice1"/>
        <w:tabs>
          <w:tab w:val="right" w:leader="dot" w:pos="8306"/>
        </w:tabs>
        <w:spacing w:line="560" w:lineRule="exact"/>
        <w:rPr>
          <w:rFonts w:ascii="仿宋" w:eastAsia="仿宋" w:hAnsi="仿宋" w:cs="仿宋"/>
          <w:b/>
          <w:sz w:val="32"/>
          <w:szCs w:val="32"/>
        </w:rPr>
      </w:pPr>
      <w:hyperlink w:anchor="_Toc4317" w:history="1">
        <w:r>
          <w:rPr>
            <w:rFonts w:ascii="仿宋" w:eastAsia="仿宋" w:hAnsi="仿宋" w:cs="仿宋" w:hint="eastAsia"/>
            <w:b/>
            <w:bCs/>
            <w:sz w:val="32"/>
            <w:szCs w:val="52"/>
          </w:rPr>
          <w:t>八、有关建议</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_Toc4317 </w:instrText>
        </w:r>
        <w:r>
          <w:rPr>
            <w:rFonts w:ascii="仿宋" w:eastAsia="仿宋" w:hAnsi="仿宋" w:cs="仿宋" w:hint="eastAsia"/>
            <w:b/>
            <w:sz w:val="32"/>
            <w:szCs w:val="32"/>
          </w:rPr>
          <w:fldChar w:fldCharType="separate"/>
        </w:r>
        <w:r>
          <w:rPr>
            <w:rFonts w:ascii="仿宋" w:eastAsia="仿宋" w:hAnsi="仿宋" w:cs="仿宋" w:hint="eastAsia"/>
            <w:b/>
            <w:sz w:val="32"/>
            <w:szCs w:val="32"/>
          </w:rPr>
          <w:t>11</w:t>
        </w:r>
        <w:r>
          <w:rPr>
            <w:rFonts w:ascii="仿宋" w:eastAsia="仿宋" w:hAnsi="仿宋" w:cs="仿宋" w:hint="eastAsia"/>
            <w:b/>
            <w:sz w:val="32"/>
            <w:szCs w:val="32"/>
          </w:rPr>
          <w:fldChar w:fldCharType="end"/>
        </w:r>
      </w:hyperlink>
    </w:p>
    <w:p>
      <w:pPr>
        <w:tabs>
          <w:tab w:val="left" w:pos="1224"/>
        </w:tabs>
        <w:spacing w:line="560" w:lineRule="exact"/>
        <w:ind w:firstLine="0" w:firstLineChars="0"/>
        <w:jc w:val="center"/>
        <w:rPr>
          <w:rStyle w:val="CommentReference"/>
        </w:rPr>
      </w:pPr>
      <w:r>
        <w:rPr>
          <w:rFonts w:ascii="仿宋" w:eastAsia="仿宋" w:hAnsi="仿宋" w:cs="仿宋" w:hint="eastAsia"/>
          <w:b/>
          <w:sz w:val="48"/>
          <w:szCs w:val="40"/>
        </w:rPr>
        <w:fldChar w:fldCharType="end"/>
      </w:r>
    </w:p>
    <w:p>
      <w:pPr>
        <w:tabs>
          <w:tab w:val="left" w:pos="1224"/>
        </w:tabs>
        <w:ind w:firstLine="560"/>
        <w:sectPr>
          <w:headerReference w:type="default" r:id="rId11"/>
          <w:pgSz w:w="11906" w:h="16838"/>
          <w:pgMar w:top="1440" w:right="1800" w:bottom="1440" w:left="1800" w:header="851" w:footer="992" w:gutter="0"/>
          <w:cols w:num="1" w:space="720"/>
          <w:docGrid w:type="lines" w:linePitch="312" w:charSpace="0"/>
        </w:sectPr>
      </w:pPr>
    </w:p>
    <w:p>
      <w:pPr>
        <w:spacing w:line="360" w:lineRule="auto"/>
        <w:ind w:firstLine="0" w:firstLineChars="0"/>
        <w:outlineLvl w:val="0"/>
        <w:rPr>
          <w:rFonts w:ascii="仿宋_GB2312" w:hAnsi="Times New Roman" w:cs="Times New Roman"/>
          <w:b/>
          <w:bCs/>
          <w:kern w:val="0"/>
          <w:sz w:val="32"/>
          <w:szCs w:val="32"/>
          <w:lang w:bidi="en-US"/>
        </w:rPr>
      </w:pPr>
      <w:bookmarkStart w:id="1" w:name="_Toc13154"/>
      <w:bookmarkStart w:id="2" w:name="_Toc67911601"/>
      <w:r>
        <w:rPr>
          <w:rFonts w:ascii="仿宋_GB2312" w:hAnsi="Times New Roman" w:cs="Times New Roman" w:hint="eastAsia"/>
          <w:b/>
          <w:bCs/>
          <w:kern w:val="0"/>
          <w:sz w:val="32"/>
          <w:szCs w:val="32"/>
          <w:lang w:bidi="en-US"/>
        </w:rPr>
        <w:t>一、基本情况</w:t>
      </w:r>
      <w:bookmarkEnd w:id="1"/>
      <w:bookmarkEnd w:id="2"/>
    </w:p>
    <w:p>
      <w:pPr>
        <w:keepNext w:val="0"/>
        <w:keepLines w:val="0"/>
        <w:pageBreakBefore w:val="0"/>
        <w:widowControl w:val="0"/>
        <w:kinsoku/>
        <w:wordWrap/>
        <w:overflowPunct/>
        <w:topLinePunct w:val="0"/>
        <w:autoSpaceDE/>
        <w:autoSpaceDN/>
        <w:bidi w:val="0"/>
        <w:adjustRightInd/>
        <w:snapToGrid/>
        <w:spacing w:line="360" w:lineRule="auto"/>
        <w:ind w:firstLine="562"/>
        <w:textAlignment w:val="auto"/>
        <w:outlineLvl w:val="1"/>
        <w:rPr>
          <w:rFonts w:ascii="仿宋_GB2312" w:hAnsi="Times New Roman" w:cs="Times New Roman"/>
          <w:b/>
          <w:bCs/>
          <w:kern w:val="0"/>
          <w:szCs w:val="28"/>
          <w:lang w:bidi="en-US"/>
        </w:rPr>
      </w:pPr>
      <w:bookmarkStart w:id="3" w:name="_Toc2044"/>
      <w:bookmarkStart w:id="4" w:name="_Toc67911602"/>
      <w:r>
        <w:rPr>
          <w:rFonts w:ascii="仿宋_GB2312" w:hAnsi="Times New Roman" w:cs="Times New Roman" w:hint="eastAsia"/>
          <w:b/>
          <w:bCs/>
          <w:kern w:val="0"/>
          <w:szCs w:val="28"/>
          <w:lang w:bidi="en-US"/>
        </w:rPr>
        <w:t>（一）项目概况：</w:t>
      </w:r>
      <w:bookmarkEnd w:id="3"/>
      <w:bookmarkEnd w:id="4"/>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1、项目背景</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军队的基础在士兵，士兵的基础在新兵，担负着征集新兵任务的各级武装部，肩负着向部队输送兵员的重大而光荣的使命，为激励我市适龄青年投笔从戎、献身国防意识，征集新兵工作起到了至关重要的作用。重点突出体检关、政审关、定兵关、集训关、回访关，全程有重点做好工作。一是严格标准条件，周密体格检查。及早明确体检时限，并组织体检工作协调会，对相关人员进行培训并组织考核，合格后持证上岗。二是发挥联动作用，把好政治考核关。始终把严格应征青年的政治考核作为民族地区征兵工作的重中之重来抓。充分发挥公安、基层武装部的主体作用，一方面加强业务培训，组织相关人员进行半天培训，明确方法程序，使所有参与政治考核的人员当好“明白人”</w:t>
      </w:r>
      <w:r>
        <w:rPr>
          <w:rFonts w:ascii="仿宋_GB2312" w:hint="eastAsia"/>
          <w:lang w:val="en-US" w:eastAsia="zh-CN"/>
        </w:rPr>
        <w:t>,</w:t>
      </w:r>
      <w:r>
        <w:rPr>
          <w:rFonts w:ascii="仿宋_GB2312" w:hint="eastAsia"/>
        </w:rPr>
        <w:t>另一方面合理分工、分片负责，安排部里现役干部，分两组重点走访预征对象。同时运用公安大数据平台，及时对所有体检合格人员进行调查比对，尤其是涉及危险犯罪的人员，根据上级要求，对旁系血亲进行有效排查，确保不发生问题。三是严格组织集训，及时发现问题。严格按照上级征兵命令和《征兵工作条例》有关规定，坚持以网上登记为基础，以法规政策为准绳、以兵员质量为核心、以廉洁征兵为保证，严格组织领导，广泛宣传发动，规范秩序工作，圆满完成年度征兵工作任务。</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2、主要内容及实施情况</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2022年秋季征集新兵费主要用于：1、新兵宣传（制作宣传展板、网络宣传、广播电视宣传、印刷宣传单位）对新政策、新标准和对在校大学生新的政策进行广泛宣传，为圆满完成我市秋季征兵任务奠定基础；2、预征青年役前适应性集训伙食费和日常办公费，对今年预征的青年进行集训，为保证在各项检查合格后能尽快适应部队生活，也对不适应部队生活的青年进行提前淘汰；3、预征青年役前适应性集训意外保险费，保证在训青年的人身安全保障；4、拉运新兵服装差旅费和托运费，主要保证我市今年秋季新入伍战士的服装保障。</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2022年秋季征集新兵经费主要用于：1、948医院预征青年复检费30312元；2、预征青年征兵体检操作系统电脑39450元；3、预征青年征兵体检心理测试硬盘3384元；4、拉运新兵服装差旅费和托运费1190元；5、预征青年征兵体检工作人员就餐款6844元；6、预征青年征兵体检毒品检测试纸1600元；7、征兵办公室日常办公保障费用2078元。8、预征青年集训伙食费15142元，预算下达数10万元，实际执行数10万元。</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3、资金投入和使用情况</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资金投入情况：该项目年初预算数0万元，全年预算数10万元，实际总投入10万元，该项目资金已全部落实到位,资金来源为财政拨款资金。</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资金使用情况：该项目年初预算数0万元，全年预算数10万元，全年执行数10万元，预算执行率为10%，用于新兵宣传费、伙食费、复检费、保险费、办公费、差旅费、租车费。</w:t>
      </w:r>
      <w:bookmarkStart w:id="5" w:name="_Toc4316"/>
      <w:bookmarkStart w:id="6" w:name="_Toc67911603"/>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（二）项目绩效目标：</w:t>
      </w:r>
      <w:bookmarkEnd w:id="5"/>
      <w:bookmarkEnd w:id="6"/>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1、总体目标：本项目依据《中共中央国务院关于全面实施预算绩效管理的意见》（中发〔2018〕34号）等文件要求，结合项目开展情况，按照“谁申请资金，谁编制目标”的原则和规定的方法、程序，科学合理编制。为更好完成上级下达给我市春秋季征兵任务，保证新兵的质量。</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2、阶段性目标： ①、上级下达我市的征兵任务为56人（男兵55人、女兵1人），其中汉族男兵35人，民族男兵20人，汉族女兵1人；</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②、全市适龄青年报名488人（男青年428人、女青年60人），为征集任务数的13.9倍；</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③、上站体检人数305人（男青年299人、女青年6人），为征集任务数年的8.7倍；</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④、体检检查和政治考核双合格67人（男青年65人、女青年2人）；</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⑤、批准入伍新兵中，大学毕业生11 人，大学在校生43人，大学新生0人，普通高中1人，中职1人，大学生士兵征集率为96.42%。</w:t>
      </w:r>
    </w:p>
    <w:p>
      <w:pPr>
        <w:spacing w:line="360" w:lineRule="auto"/>
        <w:ind w:left="0" w:firstLine="0" w:leftChars="0" w:firstLineChars="0"/>
        <w:rPr>
          <w:rFonts w:ascii="仿宋_GB2312"/>
          <w:b/>
          <w:bCs/>
          <w:sz w:val="32"/>
          <w:szCs w:val="32"/>
        </w:rPr>
      </w:pPr>
      <w:bookmarkStart w:id="7" w:name="_Toc67911604"/>
      <w:bookmarkStart w:id="8" w:name="_Toc7851"/>
      <w:r>
        <w:rPr>
          <w:rFonts w:ascii="仿宋_GB2312" w:hint="eastAsia"/>
          <w:b/>
          <w:bCs/>
          <w:sz w:val="32"/>
          <w:szCs w:val="32"/>
        </w:rPr>
        <w:t>二、绩效评价工作开展情况</w:t>
      </w:r>
      <w:bookmarkEnd w:id="7"/>
      <w:bookmarkEnd w:id="8"/>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bookmarkStart w:id="9" w:name="_Toc20568"/>
      <w:bookmarkStart w:id="10" w:name="_Toc67911605"/>
      <w:r>
        <w:rPr>
          <w:rFonts w:ascii="仿宋_GB2312" w:hint="eastAsia"/>
        </w:rPr>
        <w:t>（一）绩效评价目的、对象和范围</w:t>
      </w:r>
      <w:bookmarkEnd w:id="9"/>
      <w:bookmarkEnd w:id="10"/>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1.评价目的</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2、绩效评价对象</w:t>
      </w:r>
      <w:r>
        <w:rPr>
          <w:rFonts w:ascii="仿宋_GB2312" w:hint="eastAsia"/>
          <w:lang w:val="en-US" w:eastAsia="zh-CN"/>
        </w:rPr>
        <w:t>:</w:t>
      </w:r>
      <w:r>
        <w:rPr>
          <w:rFonts w:ascii="仿宋_GB2312" w:hint="eastAsia"/>
        </w:rPr>
        <w:t>2022年春秋季征集新兵</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3、绩效评价范围</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本次评价从项目决策（包括绩效目标、决策过程）、项目管理（包括项目资金、项目实施）、项目产出（包括项目产出数量、产出质量、产出时效和产出成本）项目效益四个维度进行2022年春秋季征集新兵项目评价，评价核心为专项资金的支出完成情况和效果。</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bookmarkStart w:id="11" w:name="_Toc67911606"/>
      <w:bookmarkStart w:id="12" w:name="_Toc23646"/>
      <w:bookmarkStart w:id="13" w:name="_Hlk67586765"/>
      <w:r>
        <w:rPr>
          <w:rFonts w:ascii="仿宋_GB2312" w:hint="eastAsia"/>
        </w:rPr>
        <w:t>（二）绩效评价原则、指标体系、方法及标准</w:t>
      </w:r>
      <w:bookmarkEnd w:id="11"/>
      <w:bookmarkEnd w:id="12"/>
    </w:p>
    <w:bookmarkEnd w:id="13"/>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1.评价原则</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（1）科学规范原则：绩效评价应当严格执行规定的程序，按照科学可行的要求，采用定量与定性分析相结合的方法。</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（2）公正公开原则：绩效评价应当符合真实、客观、公正的要求，依法公开并接受监督。</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（3）分级分类原则：根据评价对象特点分类组织实施。</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（4）绩效相关原则：绩效评价应当针对具体支出及其产出绩效进行，评价结果应当清晰反映支出和产出绩效之间的紧密对应关系。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2.评价指标体系</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2022年春秋季征集新兵项目支出绩效评价指标体系(详见附件3)：</w:t>
      </w:r>
      <w:bookmarkStart w:id="14" w:name="_Hlk67586038"/>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3.评价方法</w:t>
      </w:r>
    </w:p>
    <w:bookmarkEnd w:id="14"/>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按照《项目支出绩效评价管理办法》（财预〔2020〕10号）规定的具体评价方法和流程，评价小组运用定量和定性分析相结合的方法，综合运用比较法、因素分析法、成本效益法、公众评判等方法进行项目实施的绩效评价。</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4.评价标准</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绩效评价标准主要包括计划标准、行业标准、历史标准等，用于对绩效指标完成情况进行比较。</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（3）历史标准。指参照历史数据制定的评价标准，为体现绩效改进的原则，在可实现的条件下应当确定相对较高的评价标准。</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在上述评价标准的基础上，本次评价依据以下文件为重要指导和准绳：</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·《中共中央国务院关于全面实施预算绩效管理的意见》（中发〔2018〕34号）；</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·《项目支出绩效评价管理办法》（财预〔2020〕10号）；</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·《自治区党委自治区人民政府关于全面实施预算绩效管理的实施意见》（新党发〔2018〕30号）；</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·《2023年度推进塔城地区全面实施预算绩效管理工作规划》。</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bookmarkStart w:id="15" w:name="_Toc67911607"/>
      <w:bookmarkStart w:id="16" w:name="_Toc12695"/>
      <w:r>
        <w:rPr>
          <w:rFonts w:ascii="仿宋_GB2312" w:hint="eastAsia"/>
        </w:rPr>
        <w:t>（三）绩效评价工作过程</w:t>
      </w:r>
      <w:bookmarkEnd w:id="15"/>
      <w:bookmarkEnd w:id="16"/>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360" w:lineRule="auto"/>
        <w:ind w:left="0" w:firstLine="0" w:leftChars="0" w:firstLineChars="0"/>
        <w:rPr>
          <w:rFonts w:ascii="仿宋_GB2312"/>
          <w:b/>
          <w:bCs/>
          <w:sz w:val="32"/>
          <w:szCs w:val="32"/>
        </w:rPr>
      </w:pPr>
      <w:bookmarkStart w:id="17" w:name="_Toc28860"/>
      <w:bookmarkStart w:id="18" w:name="_Toc67911608"/>
      <w:r>
        <w:rPr>
          <w:rFonts w:ascii="仿宋_GB2312" w:hint="eastAsia"/>
          <w:b/>
          <w:bCs/>
          <w:sz w:val="32"/>
          <w:szCs w:val="32"/>
        </w:rPr>
        <w:t>三、综合评价情况及评价结论</w:t>
      </w:r>
      <w:bookmarkEnd w:id="17"/>
      <w:bookmarkEnd w:id="18"/>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bookmarkStart w:id="19" w:name="_Toc14030"/>
      <w:bookmarkStart w:id="20" w:name="_Toc67911609"/>
      <w:r>
        <w:rPr>
          <w:rFonts w:ascii="仿宋_GB2312" w:eastAsia="仿宋_GB2312" w:hAnsi="仿宋_GB2312" w:cs="仿宋_GB2312" w:hint="eastAsia"/>
        </w:rPr>
        <w:t>（一）评价结论</w:t>
      </w:r>
      <w:bookmarkEnd w:id="19"/>
      <w:bookmarkEnd w:id="20"/>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结合项目特点，制定符合项目实际的绩效评价指标体系及评分标准，通过数据采集、问卷调查及访谈等形式，对2022年春秋季征集新兵进行客观评价</w:t>
      </w:r>
      <w:bookmarkStart w:id="21" w:name="_Toc23106"/>
      <w:bookmarkStart w:id="22" w:name="_Toc67911610"/>
      <w:r>
        <w:rPr>
          <w:rFonts w:ascii="仿宋_GB2312" w:eastAsia="仿宋_GB2312" w:hAnsi="仿宋_GB2312" w:cs="仿宋_GB2312" w:hint="eastAsia"/>
        </w:rPr>
        <w:t>。</w:t>
      </w:r>
    </w:p>
    <w:bookmarkEnd w:id="21"/>
    <w:bookmarkEnd w:id="22"/>
    <w:p>
      <w:pPr>
        <w:spacing w:line="360" w:lineRule="auto"/>
        <w:ind w:left="0" w:firstLine="0" w:leftChars="0" w:firstLineChars="0"/>
        <w:rPr>
          <w:rFonts w:ascii="仿宋_GB2312"/>
          <w:b/>
          <w:bCs/>
          <w:sz w:val="32"/>
          <w:szCs w:val="32"/>
        </w:rPr>
      </w:pPr>
      <w:bookmarkStart w:id="23" w:name="_Toc67911611"/>
      <w:bookmarkStart w:id="24" w:name="_Toc20059"/>
      <w:r>
        <w:rPr>
          <w:rFonts w:ascii="仿宋_GB2312" w:hint="eastAsia"/>
          <w:b/>
          <w:bCs/>
          <w:sz w:val="32"/>
          <w:szCs w:val="32"/>
        </w:rPr>
        <w:t>四、绩效评价指标分析</w:t>
      </w:r>
      <w:bookmarkEnd w:id="23"/>
      <w:bookmarkEnd w:id="24"/>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bookmarkStart w:id="25" w:name="_Toc22626"/>
      <w:bookmarkStart w:id="26" w:name="_Toc67911612"/>
      <w:r>
        <w:rPr>
          <w:rFonts w:ascii="仿宋_GB2312" w:eastAsia="仿宋_GB2312" w:hAnsi="仿宋_GB2312" w:cs="仿宋_GB2312" w:hint="eastAsia"/>
        </w:rPr>
        <w:t>（一）项目决策情况</w:t>
      </w:r>
      <w:bookmarkEnd w:id="25"/>
      <w:bookmarkEnd w:id="26"/>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2.立项程序规范性:项目按照规定的程序申请设立,审批文件、材料符合相关要求,事前已经过必要的可行性研究、专家论证、风险评估、绩效评估、集体决策。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3.绩效目标合理性:项目有绩效目标,项目绩效目标与实际工作内容具有相关性,项目预期产出效益和效果符合正常的业绩水平,与预算确定的项目投资额或资金量相匹配。</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4.绩效指标明确性:将项目绩效目标细化分解为具体的绩效指标,通过清晰、可衡量的指标值予以体现,与项目目标任务数或计划数相对应。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5.预算编制科学性:预算编制经过科学论证,预算内容与项目内容匹配,预算额度测算依据充分，按照标准编制,预算确定的项目投资额或资金量与工作任务相匹配。</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6.资金分配合理性:预算资金分配依据充分,资金分配额度合理，与项目单位或地方实际相适应。</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bookmarkStart w:id="27" w:name="_Toc67911613"/>
      <w:bookmarkStart w:id="28" w:name="_Toc16968"/>
      <w:r>
        <w:rPr>
          <w:rFonts w:ascii="仿宋_GB2312" w:eastAsia="仿宋_GB2312" w:hAnsi="仿宋_GB2312" w:cs="仿宋_GB2312" w:hint="eastAsia"/>
        </w:rPr>
        <w:t>（二）项目过程情况</w:t>
      </w:r>
      <w:bookmarkEnd w:id="27"/>
      <w:bookmarkEnd w:id="28"/>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1.资金到位率： 实际到位资金10万元，预算资金10万元，资金到位率100%。</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2.预算执行率：年初预算数0万元，全年预算数10万元，全年执行数 10万元，预算执行率为100%。</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4.管理制度健全性：乌苏市人民武装部已制定相应的财务和业务管理制度，且制度合法、合规、完整，为项目顺利实施提供重要保障。</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5.制度执行有效性：根据现场调研和资料抽查情况，遵守相关法律法规和相关管理规定，项目调整及支出调整手续完备，整体管理合理有序，项目完成后，及时将会计凭证、固定资产入库单等相关资料分类归档，制度执行有效。</w:t>
      </w:r>
      <w:bookmarkStart w:id="29" w:name="_Hlk67670213"/>
    </w:p>
    <w:bookmarkEnd w:id="29"/>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bookmarkStart w:id="30" w:name="_Toc67911614"/>
      <w:bookmarkStart w:id="31" w:name="_Toc31704"/>
      <w:r>
        <w:rPr>
          <w:rFonts w:ascii="仿宋_GB2312" w:eastAsia="仿宋_GB2312" w:hAnsi="仿宋_GB2312" w:cs="仿宋_GB2312" w:hint="eastAsia"/>
        </w:rPr>
        <w:t>（三）项目产出情况</w:t>
      </w:r>
      <w:bookmarkEnd w:id="30"/>
      <w:bookmarkEnd w:id="31"/>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1.产出数量</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数量指标：</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指标1：上站进行体格复查人数（人），指标值：=74人，实际完成值74人，指标完成率100%。</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指标2：征兵体检操作系统电脑（台），指标值：=10台，实际完成值10台，指标完成率100%。</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指标3：征兵体检心理测试硬盘（个），指标值：=12个，实际完成值12个，指标完成率100%。</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指标4：拉运新兵服装差旅、托运费（次），指标值：=1次，实际完成值1次，指标完成率100%。</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指标5：预征青年集训伙食费（次），指标值：=1次，实际完成值1次，指标完成率100%。</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2.产出质量</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质量指标：</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指标1：体格检复查（次），指标值：＝２次，实际完成值２次，指标完成率100%。</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3.产出时效</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时效指标：</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指标1：集中展开预征青年集训（天），指标值：≧10万元，实际完成值10万，指标完成率100%。</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指标2：资金到位率，指标值：100%，实际完成值100%，指标完成率100%。</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4.产出成本</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成本指标：</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指标1：财政拨春秋季征集新兵工作经费，指标值：10万，实际完成值10 万，指标完成率 100</w:t>
      </w:r>
      <w:bookmarkStart w:id="32" w:name="_Toc31697"/>
      <w:bookmarkStart w:id="33" w:name="_Toc67911615"/>
      <w:r>
        <w:rPr>
          <w:rFonts w:ascii="仿宋_GB2312" w:eastAsia="仿宋_GB2312" w:hAnsi="仿宋_GB2312" w:cs="仿宋_GB2312" w:hint="eastAsia"/>
        </w:rPr>
        <w:t>%。</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（四）项目效益情况</w:t>
      </w:r>
      <w:bookmarkEnd w:id="32"/>
      <w:bookmarkEnd w:id="33"/>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1.项目效益</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（1）实施效益</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社会效益指标：评价指标“提高全市人民拥军参军意识”，指标值：有所提高，实际完成值有所提高，达成年度指标。今年比去年预征青年报名人数有所提高。</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可持续影响指标：评价指标“提高全市青年投身国防建设意识，积极融入部队大家庭”，指标值：有所提高，实际完成值：有所提高。达成年度指标。</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（2）满意度</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服务对象满意度指标：评价指标“参军青年和参军青年家庭满意度”，指标值：≥95%，实际完成值：95%。</w:t>
      </w:r>
    </w:p>
    <w:p>
      <w:pPr>
        <w:spacing w:line="360" w:lineRule="auto"/>
        <w:ind w:left="0" w:firstLine="0" w:leftChars="0" w:firstLineChars="0"/>
        <w:rPr>
          <w:rFonts w:ascii="仿宋_GB2312"/>
          <w:b/>
          <w:bCs/>
          <w:sz w:val="32"/>
          <w:szCs w:val="32"/>
        </w:rPr>
      </w:pPr>
      <w:bookmarkStart w:id="34" w:name="_Toc32407"/>
      <w:bookmarkStart w:id="35" w:name="_Toc67911616"/>
      <w:r>
        <w:rPr>
          <w:rFonts w:ascii="仿宋_GB2312" w:hint="eastAsia"/>
          <w:b/>
          <w:bCs/>
          <w:sz w:val="32"/>
          <w:szCs w:val="32"/>
        </w:rPr>
        <w:t>五、预算执行进度与绩效指标偏差</w:t>
      </w:r>
      <w:bookmarkEnd w:id="34"/>
      <w:bookmarkEnd w:id="35"/>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本项目预算执行率为100%，指标总体完成率为100%，二者之间的偏差值为0%。因此，本项目较好地完成了年度总体目标，财政资金使用效益和效率较高。</w:t>
      </w:r>
    </w:p>
    <w:p>
      <w:pPr>
        <w:spacing w:line="360" w:lineRule="auto"/>
        <w:ind w:left="0" w:firstLine="0" w:leftChars="0" w:firstLineChars="0"/>
        <w:rPr>
          <w:rFonts w:ascii="仿宋_GB2312"/>
          <w:b/>
          <w:bCs/>
          <w:sz w:val="32"/>
          <w:szCs w:val="32"/>
        </w:rPr>
      </w:pPr>
      <w:bookmarkStart w:id="36" w:name="_Toc67911617"/>
      <w:bookmarkStart w:id="37" w:name="_Toc5156"/>
      <w:r>
        <w:rPr>
          <w:rFonts w:ascii="仿宋_GB2312" w:hint="eastAsia"/>
          <w:b/>
          <w:bCs/>
          <w:sz w:val="32"/>
          <w:szCs w:val="32"/>
        </w:rPr>
        <w:t>六、主要经验及做法、存在的问题及原因分析</w:t>
      </w:r>
      <w:bookmarkEnd w:id="36"/>
      <w:bookmarkEnd w:id="37"/>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bookmarkStart w:id="38" w:name="_Toc18450"/>
      <w:bookmarkStart w:id="39" w:name="_Toc67911618"/>
      <w:r>
        <w:rPr>
          <w:rFonts w:ascii="仿宋_GB2312" w:hint="eastAsia"/>
        </w:rPr>
        <w:t>（一）主要经验及做法</w:t>
      </w:r>
      <w:bookmarkEnd w:id="38"/>
      <w:bookmarkEnd w:id="39"/>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bookmarkStart w:id="40" w:name="_Toc9205"/>
      <w:r>
        <w:rPr>
          <w:rFonts w:ascii="仿宋_GB2312" w:hint="eastAsia"/>
        </w:rPr>
        <w:t>一是加强项目实施管理。采取开展调研、中期评估等有效管理措施，促进各项目顺利实施。</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二是加强项目资金管理。做到手续完备、专账管理、专人负责、专户存储、账目清楚。</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三是缺乏有效激励与约束机制，创新机制正在逐步加强，要求财务工作水平越来越高。综合各方面存在的问题，我单位要完善相互监督，完善资金执行的严谨性。</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（二）存在的问题及原因分析</w:t>
      </w:r>
      <w:bookmarkEnd w:id="40"/>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bookmarkStart w:id="41" w:name="_Toc67911619"/>
      <w:bookmarkStart w:id="42" w:name="_Toc26872"/>
      <w:r>
        <w:rPr>
          <w:rFonts w:ascii="仿宋_GB2312" w:hint="eastAsia"/>
        </w:rPr>
        <w:t>1、由于客观原因影响，财务管理有待于进一步规范。在今后，我们会吸收先进管理经验，严格财务管理，节约开支，提高资金使用效率，为人民群众的生产生活提供良好的安全发展环境。</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2、针对绩效自评中存在的问题，及时调整和优化本部门后续项目和以后年度预算支出的方向和结构，合理配置资源，加强财务管理。</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3、工作过程中，我们严格规范财务和稽查考核制度，严格审批程序。本项目资金审批严格依据相关制度执行。通过严格规范的工作程序，确保资金专款专用。</w:t>
      </w:r>
    </w:p>
    <w:p>
      <w:pPr>
        <w:spacing w:line="360" w:lineRule="auto"/>
        <w:ind w:left="0" w:firstLine="0" w:leftChars="0" w:firstLineChars="0"/>
        <w:rPr>
          <w:rFonts w:ascii="仿宋_GB2312"/>
          <w:b/>
          <w:bCs/>
          <w:sz w:val="32"/>
          <w:szCs w:val="32"/>
        </w:rPr>
      </w:pPr>
      <w:r>
        <w:rPr>
          <w:rFonts w:ascii="仿宋_GB2312" w:hint="eastAsia"/>
          <w:b/>
          <w:bCs/>
          <w:sz w:val="32"/>
          <w:szCs w:val="32"/>
        </w:rPr>
        <w:t>七、有关建议其他需要说明的问题</w:t>
      </w:r>
      <w:bookmarkEnd w:id="41"/>
      <w:bookmarkEnd w:id="42"/>
    </w:p>
    <w:p>
      <w:pPr>
        <w:spacing w:line="360" w:lineRule="auto"/>
        <w:ind w:firstLine="560"/>
        <w:rPr>
          <w:rFonts w:ascii="仿宋_GB2312"/>
        </w:rPr>
      </w:pPr>
      <w:r>
        <w:rPr>
          <w:rFonts w:ascii="仿宋_GB2312" w:hint="eastAsia"/>
        </w:rPr>
        <w:t>1.项目支出政策和路径设计科学，符合实际需要；</w:t>
      </w:r>
    </w:p>
    <w:p>
      <w:pPr>
        <w:spacing w:line="360" w:lineRule="auto"/>
        <w:ind w:firstLine="560"/>
        <w:rPr>
          <w:rFonts w:ascii="仿宋_GB2312"/>
        </w:rPr>
      </w:pPr>
      <w:r>
        <w:rPr>
          <w:rFonts w:ascii="仿宋_GB2312" w:hint="eastAsia"/>
        </w:rPr>
        <w:t>2.项目安排准确，未发现背离项目立项初衷的情况；</w:t>
      </w:r>
    </w:p>
    <w:p>
      <w:pPr>
        <w:spacing w:line="360" w:lineRule="auto"/>
        <w:ind w:firstLine="560"/>
        <w:rPr>
          <w:rFonts w:ascii="仿宋_GB2312"/>
        </w:rPr>
      </w:pPr>
      <w:r>
        <w:rPr>
          <w:rFonts w:ascii="仿宋_GB2312" w:hint="eastAsia"/>
        </w:rPr>
        <w:t>3.项目的申报、审核机制完善；</w:t>
      </w:r>
    </w:p>
    <w:p>
      <w:pPr>
        <w:spacing w:line="360" w:lineRule="auto"/>
        <w:ind w:firstLine="560"/>
        <w:rPr>
          <w:rFonts w:ascii="仿宋_GB2312"/>
        </w:rPr>
      </w:pPr>
      <w:r>
        <w:rPr>
          <w:rFonts w:ascii="仿宋_GB2312" w:hint="eastAsia"/>
        </w:rPr>
        <w:t>4.未发现虚假行为和骗取财政资金的问题。</w:t>
      </w:r>
    </w:p>
    <w:p>
      <w:pPr>
        <w:spacing w:line="360" w:lineRule="auto"/>
        <w:ind w:left="0" w:firstLine="0" w:leftChars="0" w:firstLineChars="0"/>
        <w:rPr>
          <w:rFonts w:ascii="仿宋_GB2312" w:hint="eastAsia"/>
        </w:rPr>
      </w:pPr>
      <w:bookmarkStart w:id="43" w:name="_Toc4317"/>
      <w:bookmarkStart w:id="44" w:name="_Toc67911620"/>
      <w:r>
        <w:rPr>
          <w:rFonts w:ascii="仿宋_GB2312" w:hint="eastAsia"/>
          <w:b/>
          <w:bCs/>
          <w:sz w:val="32"/>
          <w:szCs w:val="32"/>
        </w:rPr>
        <w:t>八、</w:t>
      </w:r>
      <w:bookmarkEnd w:id="43"/>
      <w:bookmarkEnd w:id="44"/>
      <w:r>
        <w:rPr>
          <w:rFonts w:ascii="仿宋_GB2312" w:hint="eastAsia"/>
          <w:b/>
          <w:bCs/>
          <w:sz w:val="32"/>
          <w:szCs w:val="32"/>
        </w:rPr>
        <w:t>其他需要说明的问题</w:t>
      </w:r>
    </w:p>
    <w:p>
      <w:pPr>
        <w:spacing w:line="360" w:lineRule="auto"/>
        <w:ind w:firstLine="560"/>
        <w:rPr>
          <w:rFonts w:ascii="仿宋_GB2312" w:eastAsia="仿宋_GB2312" w:hint="eastAsia"/>
          <w:lang w:val="en-US" w:eastAsia="zh-CN"/>
        </w:rPr>
      </w:pPr>
      <w:r>
        <w:rPr>
          <w:rFonts w:ascii="仿宋_GB2312" w:hint="eastAsia"/>
          <w:lang w:val="en-US" w:eastAsia="zh-CN"/>
        </w:rPr>
        <w:t>无</w:t>
      </w:r>
    </w:p>
    <w:sectPr>
      <w:headerReference w:type="default" r:id="rId12"/>
      <w:footerReference w:type="default" r:id="rId13"/>
      <w:footnotePr>
        <w:numFmt w:val="decimalEnclosedCircleChinese"/>
        <w:numRestart w:val="eachPage"/>
      </w:footnotePr>
      <w:type w:val="continuous"/>
      <w:pgSz w:w="11906" w:h="16838"/>
      <w:pgMar w:top="1440" w:right="1800" w:bottom="1440" w:left="1800" w:header="992" w:footer="992" w:gutter="0"/>
      <w:cols w:num="1" w:space="720"/>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roman"/>
    <w:pitch w:val="default"/>
    <w:sig w:usb0="00000000" w:usb1="00000000" w:usb2="00000016" w:usb3="00000000" w:csb0="0004000F" w:csb1="00000000"/>
  </w:font>
  <w:font w:name="等线">
    <w:altName w:val="Arial Unicode MS"/>
    <w:panose1 w:val="02010600030101010101"/>
    <w:charset w:val="86"/>
    <w:family w:val="modern"/>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ind w:firstLine="560"/>
      <w:jc w:val="center"/>
      <w:rPr>
        <w:rFonts w:ascii="仿宋_GB2312" w:eastAsia="仿宋_GB2312"/>
        <w:sz w:val="21"/>
        <w:szCs w:val="21"/>
      </w:rPr>
    </w:pPr>
    <w:r>
      <w:rPr>
        <w:rFonts w:ascii="仿宋_GB2312" w:eastAsia="仿宋_GB2312" w:hint="eastAsia"/>
        <w:sz w:val="21"/>
        <w:szCs w:val="21"/>
      </w:rPr>
      <w:fldChar w:fldCharType="begin"/>
    </w:r>
    <w:r>
      <w:rPr>
        <w:rFonts w:ascii="仿宋_GB2312" w:eastAsia="仿宋_GB2312" w:hint="eastAsia"/>
        <w:sz w:val="21"/>
        <w:szCs w:val="21"/>
      </w:rPr>
      <w:instrText>PAGE   \* MERGEFORMAT</w:instrText>
    </w:r>
    <w:r>
      <w:rPr>
        <w:rFonts w:ascii="仿宋_GB2312" w:eastAsia="仿宋_GB2312" w:hint="eastAsia"/>
        <w:sz w:val="21"/>
        <w:szCs w:val="21"/>
      </w:rPr>
      <w:fldChar w:fldCharType="separate"/>
    </w:r>
    <w:r>
      <w:rPr>
        <w:rFonts w:ascii="仿宋_GB2312" w:eastAsia="仿宋_GB2312"/>
        <w:sz w:val="21"/>
        <w:szCs w:val="21"/>
        <w:lang w:val="zh-CN"/>
      </w:rPr>
      <w:t>5</w:t>
    </w:r>
    <w:r>
      <w:rPr>
        <w:rFonts w:ascii="仿宋_GB2312" w:eastAsia="仿宋_GB2312" w:hint="eastAsia"/>
        <w:sz w:val="21"/>
        <w:szCs w:val="21"/>
      </w:rPr>
      <w:fldChar w:fldCharType="end"/>
    </w:r>
  </w:p>
  <w:p>
    <w:pPr>
      <w:pStyle w:val="Footer"/>
      <w:rPr>
        <w:rFonts w:ascii="仿宋_GB2312" w:eastAsia="仿宋_GB2312"/>
        <w:sz w:val="21"/>
        <w:szCs w:val="21"/>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ind w:firstLine="0" w:firstLineChars="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ind w:firstLine="0" w:firstLineChars="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ind w:firstLine="560"/>
      <w:jc w:val="right"/>
      <w:rPr>
        <w:rFonts w:ascii="仿宋_GB2312" w:eastAsia="仿宋_GB2312"/>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40"/>
  <w:drawingGridVerticalSpacing w:val="381"/>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A0A"/>
    <w:rsid w:val="00042151"/>
    <w:rsid w:val="000438A0"/>
    <w:rsid w:val="000531EA"/>
    <w:rsid w:val="0007002C"/>
    <w:rsid w:val="00086724"/>
    <w:rsid w:val="000A2B58"/>
    <w:rsid w:val="000A43E8"/>
    <w:rsid w:val="000B520E"/>
    <w:rsid w:val="000B6FA0"/>
    <w:rsid w:val="000C5A3F"/>
    <w:rsid w:val="000C720A"/>
    <w:rsid w:val="000C77D3"/>
    <w:rsid w:val="000D252A"/>
    <w:rsid w:val="000D2770"/>
    <w:rsid w:val="000F5DE3"/>
    <w:rsid w:val="0010590F"/>
    <w:rsid w:val="00111969"/>
    <w:rsid w:val="00147D9F"/>
    <w:rsid w:val="001544E6"/>
    <w:rsid w:val="001645EB"/>
    <w:rsid w:val="00187B13"/>
    <w:rsid w:val="001A3189"/>
    <w:rsid w:val="001A79B9"/>
    <w:rsid w:val="001C50BA"/>
    <w:rsid w:val="001D66B5"/>
    <w:rsid w:val="001E754D"/>
    <w:rsid w:val="001E7E9F"/>
    <w:rsid w:val="00213964"/>
    <w:rsid w:val="002148DE"/>
    <w:rsid w:val="00220DC6"/>
    <w:rsid w:val="0022294C"/>
    <w:rsid w:val="00225A82"/>
    <w:rsid w:val="00247354"/>
    <w:rsid w:val="00250131"/>
    <w:rsid w:val="00261F2F"/>
    <w:rsid w:val="00262B75"/>
    <w:rsid w:val="002810AA"/>
    <w:rsid w:val="00282C03"/>
    <w:rsid w:val="002E1E67"/>
    <w:rsid w:val="002E608B"/>
    <w:rsid w:val="00302E15"/>
    <w:rsid w:val="0032183D"/>
    <w:rsid w:val="0032329D"/>
    <w:rsid w:val="00332C71"/>
    <w:rsid w:val="00333EA5"/>
    <w:rsid w:val="00340CED"/>
    <w:rsid w:val="00343485"/>
    <w:rsid w:val="00350839"/>
    <w:rsid w:val="00377BA7"/>
    <w:rsid w:val="003B2851"/>
    <w:rsid w:val="003C24DB"/>
    <w:rsid w:val="003C4BD9"/>
    <w:rsid w:val="00404C10"/>
    <w:rsid w:val="004249EE"/>
    <w:rsid w:val="00437C39"/>
    <w:rsid w:val="00490593"/>
    <w:rsid w:val="004925F6"/>
    <w:rsid w:val="004957B3"/>
    <w:rsid w:val="004B5A40"/>
    <w:rsid w:val="004D4759"/>
    <w:rsid w:val="004F17C9"/>
    <w:rsid w:val="004F66E9"/>
    <w:rsid w:val="005345BF"/>
    <w:rsid w:val="00534DD6"/>
    <w:rsid w:val="005417D4"/>
    <w:rsid w:val="0054442E"/>
    <w:rsid w:val="00553F30"/>
    <w:rsid w:val="00562A3E"/>
    <w:rsid w:val="00563798"/>
    <w:rsid w:val="00566083"/>
    <w:rsid w:val="0056794C"/>
    <w:rsid w:val="005764CD"/>
    <w:rsid w:val="005779FD"/>
    <w:rsid w:val="0058379D"/>
    <w:rsid w:val="00593474"/>
    <w:rsid w:val="005A12D0"/>
    <w:rsid w:val="005A2254"/>
    <w:rsid w:val="005A3748"/>
    <w:rsid w:val="005A5ABF"/>
    <w:rsid w:val="005A5E3B"/>
    <w:rsid w:val="005B7A28"/>
    <w:rsid w:val="005D2F48"/>
    <w:rsid w:val="005E2098"/>
    <w:rsid w:val="005F226E"/>
    <w:rsid w:val="005F273F"/>
    <w:rsid w:val="0060391D"/>
    <w:rsid w:val="00604BA5"/>
    <w:rsid w:val="00607D5B"/>
    <w:rsid w:val="00611B95"/>
    <w:rsid w:val="00614CEC"/>
    <w:rsid w:val="00627F97"/>
    <w:rsid w:val="00644792"/>
    <w:rsid w:val="00656DB7"/>
    <w:rsid w:val="00662C67"/>
    <w:rsid w:val="006B60FE"/>
    <w:rsid w:val="006C40AE"/>
    <w:rsid w:val="006E6431"/>
    <w:rsid w:val="006F3315"/>
    <w:rsid w:val="007027A1"/>
    <w:rsid w:val="00705854"/>
    <w:rsid w:val="00722A72"/>
    <w:rsid w:val="00733402"/>
    <w:rsid w:val="00743F96"/>
    <w:rsid w:val="00756834"/>
    <w:rsid w:val="0076734C"/>
    <w:rsid w:val="00783118"/>
    <w:rsid w:val="007C3F63"/>
    <w:rsid w:val="007F185A"/>
    <w:rsid w:val="007F6051"/>
    <w:rsid w:val="007F6745"/>
    <w:rsid w:val="007F77F3"/>
    <w:rsid w:val="008123C5"/>
    <w:rsid w:val="00816D0E"/>
    <w:rsid w:val="008327EB"/>
    <w:rsid w:val="00835535"/>
    <w:rsid w:val="00863F65"/>
    <w:rsid w:val="00866FB0"/>
    <w:rsid w:val="00884C5F"/>
    <w:rsid w:val="00894E2C"/>
    <w:rsid w:val="008A3394"/>
    <w:rsid w:val="008A476A"/>
    <w:rsid w:val="008C4803"/>
    <w:rsid w:val="008D3FFC"/>
    <w:rsid w:val="008D6D96"/>
    <w:rsid w:val="009068E0"/>
    <w:rsid w:val="00907B15"/>
    <w:rsid w:val="009214DF"/>
    <w:rsid w:val="00923604"/>
    <w:rsid w:val="009258BD"/>
    <w:rsid w:val="00933961"/>
    <w:rsid w:val="009546FE"/>
    <w:rsid w:val="0095473C"/>
    <w:rsid w:val="00954936"/>
    <w:rsid w:val="00963948"/>
    <w:rsid w:val="00981879"/>
    <w:rsid w:val="0098656D"/>
    <w:rsid w:val="00995079"/>
    <w:rsid w:val="00996B5B"/>
    <w:rsid w:val="009D4C5C"/>
    <w:rsid w:val="009F55B0"/>
    <w:rsid w:val="00A106CE"/>
    <w:rsid w:val="00A2064E"/>
    <w:rsid w:val="00A22963"/>
    <w:rsid w:val="00A425B1"/>
    <w:rsid w:val="00A43A0A"/>
    <w:rsid w:val="00A52E72"/>
    <w:rsid w:val="00AB17D1"/>
    <w:rsid w:val="00AE1DCD"/>
    <w:rsid w:val="00AE6C31"/>
    <w:rsid w:val="00B22F6F"/>
    <w:rsid w:val="00B4167E"/>
    <w:rsid w:val="00B47692"/>
    <w:rsid w:val="00B72218"/>
    <w:rsid w:val="00B90BA4"/>
    <w:rsid w:val="00B962E0"/>
    <w:rsid w:val="00BA0A35"/>
    <w:rsid w:val="00BA10B1"/>
    <w:rsid w:val="00BA13B7"/>
    <w:rsid w:val="00BA65B8"/>
    <w:rsid w:val="00BA76B5"/>
    <w:rsid w:val="00BC5C63"/>
    <w:rsid w:val="00BD31C9"/>
    <w:rsid w:val="00BE5FCC"/>
    <w:rsid w:val="00BF1766"/>
    <w:rsid w:val="00BF27D1"/>
    <w:rsid w:val="00C00DA2"/>
    <w:rsid w:val="00C20C51"/>
    <w:rsid w:val="00C409B9"/>
    <w:rsid w:val="00C634EC"/>
    <w:rsid w:val="00C66545"/>
    <w:rsid w:val="00C8191C"/>
    <w:rsid w:val="00CA74C5"/>
    <w:rsid w:val="00CB3DFC"/>
    <w:rsid w:val="00CB6D38"/>
    <w:rsid w:val="00CE6337"/>
    <w:rsid w:val="00CF640C"/>
    <w:rsid w:val="00CF7439"/>
    <w:rsid w:val="00D04E2D"/>
    <w:rsid w:val="00D23DCB"/>
    <w:rsid w:val="00D3320C"/>
    <w:rsid w:val="00D34884"/>
    <w:rsid w:val="00D4562E"/>
    <w:rsid w:val="00D84293"/>
    <w:rsid w:val="00D9228E"/>
    <w:rsid w:val="00DA4BA7"/>
    <w:rsid w:val="00DB316E"/>
    <w:rsid w:val="00DC1EA8"/>
    <w:rsid w:val="00DD54BF"/>
    <w:rsid w:val="00DF643F"/>
    <w:rsid w:val="00E00B28"/>
    <w:rsid w:val="00E014DB"/>
    <w:rsid w:val="00E14FE5"/>
    <w:rsid w:val="00E24ACA"/>
    <w:rsid w:val="00E26770"/>
    <w:rsid w:val="00E30B1D"/>
    <w:rsid w:val="00E526C7"/>
    <w:rsid w:val="00EA63EF"/>
    <w:rsid w:val="00EA7E72"/>
    <w:rsid w:val="00EB0442"/>
    <w:rsid w:val="00EC5F03"/>
    <w:rsid w:val="00EF3B51"/>
    <w:rsid w:val="00F06D23"/>
    <w:rsid w:val="00F36E98"/>
    <w:rsid w:val="00F52C6D"/>
    <w:rsid w:val="00F55451"/>
    <w:rsid w:val="00F73710"/>
    <w:rsid w:val="00F872E7"/>
    <w:rsid w:val="00FB09C6"/>
    <w:rsid w:val="00FB2BBD"/>
    <w:rsid w:val="00FD7A36"/>
    <w:rsid w:val="00FD7C5F"/>
    <w:rsid w:val="00FE193C"/>
    <w:rsid w:val="00FE7DCA"/>
    <w:rsid w:val="00FF0452"/>
    <w:rsid w:val="03FD2B2A"/>
    <w:rsid w:val="08297625"/>
    <w:rsid w:val="0901173A"/>
    <w:rsid w:val="0AF40A9D"/>
    <w:rsid w:val="0DB72830"/>
    <w:rsid w:val="105558C2"/>
    <w:rsid w:val="159418E1"/>
    <w:rsid w:val="18E51F8B"/>
    <w:rsid w:val="19C60A41"/>
    <w:rsid w:val="1CD11123"/>
    <w:rsid w:val="1EEE1C71"/>
    <w:rsid w:val="1F055AA3"/>
    <w:rsid w:val="223E1265"/>
    <w:rsid w:val="258C7457"/>
    <w:rsid w:val="28286CD6"/>
    <w:rsid w:val="28B47316"/>
    <w:rsid w:val="2B7C2DFD"/>
    <w:rsid w:val="325C323B"/>
    <w:rsid w:val="35E711C8"/>
    <w:rsid w:val="37C61A08"/>
    <w:rsid w:val="3AFD408D"/>
    <w:rsid w:val="3C76030C"/>
    <w:rsid w:val="3CAE261C"/>
    <w:rsid w:val="3DD3455D"/>
    <w:rsid w:val="40BA2031"/>
    <w:rsid w:val="40BA304E"/>
    <w:rsid w:val="40DB092F"/>
    <w:rsid w:val="435F5AE9"/>
    <w:rsid w:val="45363D51"/>
    <w:rsid w:val="47B146BB"/>
    <w:rsid w:val="47F944C8"/>
    <w:rsid w:val="480B2C78"/>
    <w:rsid w:val="4812191F"/>
    <w:rsid w:val="487D46A0"/>
    <w:rsid w:val="48C37C62"/>
    <w:rsid w:val="4AE948EF"/>
    <w:rsid w:val="4D1E7039"/>
    <w:rsid w:val="4D7B50C5"/>
    <w:rsid w:val="50CA2C4C"/>
    <w:rsid w:val="51725C38"/>
    <w:rsid w:val="520B2AEC"/>
    <w:rsid w:val="522E3CD3"/>
    <w:rsid w:val="536638C4"/>
    <w:rsid w:val="560B31DC"/>
    <w:rsid w:val="563C0D0B"/>
    <w:rsid w:val="5C3B793A"/>
    <w:rsid w:val="5CF07877"/>
    <w:rsid w:val="60A2653B"/>
    <w:rsid w:val="644F417A"/>
    <w:rsid w:val="64E7071A"/>
    <w:rsid w:val="6D7D004C"/>
    <w:rsid w:val="6D9A662D"/>
    <w:rsid w:val="72E36C06"/>
    <w:rsid w:val="73057AEE"/>
    <w:rsid w:val="7766420C"/>
    <w:rsid w:val="7910220B"/>
    <w:rsid w:val="7C0B7E8B"/>
    <w:rsid w:val="7D787E9B"/>
  </w:rsids>
  <w:docVars>
    <w:docVar w:name="commondata" w:val="eyJoZGlkIjoiOGU1ZmI3OTEyMWRlNDNmMDM1MGRjMjlhZjRkODQ0ZDQ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semiHidden="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semiHidden="0" w:qFormat="1"/>
    <w:lsdException w:name="Body Text First Indent" w:semiHidden="0" w:uiPriority="0" w:unhideWhenUsed="0" w:qFormat="1"/>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3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ind w:firstLine="600" w:firstLineChars="200"/>
      <w:jc w:val="both"/>
    </w:pPr>
    <w:rPr>
      <w:rFonts w:ascii="Calibri" w:eastAsia="仿宋_GB2312" w:hAnsi="Calibri" w:cs="黑体"/>
      <w:kern w:val="2"/>
      <w:sz w:val="28"/>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rFonts w:cs="Times New Roman"/>
      <w:b/>
      <w:bCs/>
      <w:kern w:val="44"/>
      <w:sz w:val="44"/>
      <w:szCs w:val="44"/>
    </w:rPr>
  </w:style>
  <w:style w:type="paragraph" w:styleId="Heading2">
    <w:name w:val="heading 2"/>
    <w:basedOn w:val="Normal"/>
    <w:next w:val="Normal"/>
    <w:link w:val="2Char"/>
    <w:uiPriority w:val="9"/>
    <w:qFormat/>
    <w:pPr>
      <w:keepNext/>
      <w:keepLines/>
      <w:spacing w:before="260" w:after="260" w:line="416" w:lineRule="auto"/>
      <w:outlineLvl w:val="1"/>
    </w:pPr>
    <w:rPr>
      <w:rFonts w:ascii="等线 Light" w:eastAsia="等线 Light" w:hAnsi="等线 Light" w:cs="Times New Roman"/>
      <w:b/>
      <w:bCs/>
      <w:kern w:val="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rPr>
      <w:rFonts w:cs="Times New Roman"/>
      <w:kern w:val="0"/>
      <w:szCs w:val="20"/>
    </w:rPr>
  </w:style>
  <w:style w:type="paragraph" w:styleId="BodyText">
    <w:name w:val="Body Text"/>
    <w:basedOn w:val="Normal"/>
    <w:link w:val="Char4"/>
    <w:uiPriority w:val="99"/>
    <w:unhideWhenUsed/>
    <w:qFormat/>
    <w:pPr>
      <w:spacing w:after="120"/>
    </w:pPr>
    <w:rPr>
      <w:rFonts w:cs="Times New Roman"/>
    </w:rPr>
  </w:style>
  <w:style w:type="paragraph" w:styleId="Date">
    <w:name w:val="Date"/>
    <w:basedOn w:val="Normal"/>
    <w:next w:val="Normal"/>
    <w:link w:val="Char3"/>
    <w:uiPriority w:val="99"/>
    <w:unhideWhenUsed/>
    <w:qFormat/>
    <w:pPr>
      <w:ind w:left="100" w:leftChars="2500"/>
    </w:pPr>
    <w:rPr>
      <w:rFonts w:cs="Times New Roman"/>
      <w:kern w:val="0"/>
      <w:szCs w:val="20"/>
    </w:rPr>
  </w:style>
  <w:style w:type="paragraph" w:styleId="BalloonText">
    <w:name w:val="Balloon Text"/>
    <w:basedOn w:val="Normal"/>
    <w:link w:val="Char5"/>
    <w:uiPriority w:val="99"/>
    <w:unhideWhenUsed/>
    <w:qFormat/>
    <w:rPr>
      <w:rFonts w:cs="Times New Roman"/>
      <w:sz w:val="18"/>
      <w:szCs w:val="18"/>
    </w:rPr>
  </w:style>
  <w:style w:type="paragraph" w:styleId="Footer">
    <w:name w:val="footer"/>
    <w:basedOn w:val="Normal"/>
    <w:link w:val="Char1"/>
    <w:uiPriority w:val="99"/>
    <w:unhideWhenUsed/>
    <w:qFormat/>
    <w:pPr>
      <w:tabs>
        <w:tab w:val="center" w:pos="4153"/>
        <w:tab w:val="right" w:pos="8306"/>
      </w:tabs>
      <w:snapToGrid w:val="0"/>
      <w:ind w:firstLine="0" w:firstLineChars="0"/>
      <w:jc w:val="left"/>
    </w:pPr>
    <w:rPr>
      <w:rFonts w:ascii="Times New Roman" w:eastAsia="宋体" w:hAnsi="Times New Roman" w:cs="Times New Roman"/>
      <w:kern w:val="0"/>
      <w:sz w:val="18"/>
      <w:szCs w:val="18"/>
    </w:rPr>
  </w:style>
  <w:style w:type="paragraph" w:styleId="Header">
    <w:name w:val="header"/>
    <w:basedOn w:val="Normal"/>
    <w:link w:val="Char2"/>
    <w:uiPriority w:val="99"/>
    <w:unhideWhenUsed/>
    <w:qFormat/>
    <w:pPr>
      <w:pBdr>
        <w:bottom w:val="single" w:sz="6" w:space="1" w:color="auto"/>
      </w:pBdr>
      <w:tabs>
        <w:tab w:val="center" w:pos="4153"/>
        <w:tab w:val="right" w:pos="8306"/>
      </w:tabs>
      <w:snapToGrid w:val="0"/>
      <w:ind w:firstLine="0" w:firstLineChars="0"/>
      <w:jc w:val="center"/>
    </w:pPr>
    <w:rPr>
      <w:rFonts w:ascii="Times New Roman" w:eastAsia="宋体" w:hAnsi="Times New Roman" w:cs="Times New Roman"/>
      <w:kern w:val="0"/>
      <w:sz w:val="18"/>
      <w:szCs w:val="18"/>
    </w:rPr>
  </w:style>
  <w:style w:type="paragraph" w:styleId="TOC1">
    <w:name w:val="toc 1"/>
    <w:basedOn w:val="Normal"/>
    <w:next w:val="Normal"/>
    <w:uiPriority w:val="39"/>
    <w:unhideWhenUsed/>
    <w:qFormat/>
  </w:style>
  <w:style w:type="paragraph" w:styleId="FootnoteText">
    <w:name w:val="footnote text"/>
    <w:basedOn w:val="Normal"/>
    <w:link w:val="Char6"/>
    <w:uiPriority w:val="99"/>
    <w:unhideWhenUsed/>
    <w:qFormat/>
    <w:pPr>
      <w:snapToGrid w:val="0"/>
      <w:jc w:val="left"/>
    </w:pPr>
    <w:rPr>
      <w:rFonts w:cs="Times New Roman"/>
      <w:kern w:val="0"/>
      <w:sz w:val="18"/>
      <w:szCs w:val="18"/>
    </w:rPr>
  </w:style>
  <w:style w:type="paragraph" w:styleId="TOC2">
    <w:name w:val="toc 2"/>
    <w:basedOn w:val="Normal"/>
    <w:next w:val="Normal"/>
    <w:uiPriority w:val="39"/>
    <w:unhideWhenUsed/>
    <w:qFormat/>
    <w:pPr>
      <w:ind w:left="420" w:leftChars="200"/>
    </w:pPr>
  </w:style>
  <w:style w:type="paragraph" w:styleId="CommentSubject">
    <w:name w:val="annotation subject"/>
    <w:basedOn w:val="CommentText"/>
    <w:next w:val="CommentText"/>
    <w:link w:val="Char7"/>
    <w:uiPriority w:val="99"/>
    <w:unhideWhenUsed/>
    <w:qFormat/>
    <w:rPr>
      <w:b/>
      <w:bCs/>
    </w:rPr>
  </w:style>
  <w:style w:type="paragraph" w:styleId="BodyTextFirstIndent">
    <w:name w:val="Body Text First Indent"/>
    <w:basedOn w:val="BodyText"/>
    <w:link w:val="Char"/>
    <w:qFormat/>
    <w:pPr>
      <w:spacing w:after="0"/>
      <w:ind w:firstLine="420" w:firstLineChars="100"/>
    </w:pPr>
    <w:rPr>
      <w:rFonts w:ascii="宋体" w:hAnsi="宋体" w:cs="宋体"/>
      <w:sz w:val="21"/>
      <w:lang w:val="zh-CN" w:bidi="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Pr>
      <w:b/>
      <w:bCs/>
    </w:rPr>
  </w:style>
  <w:style w:type="character" w:styleId="Hyperlink">
    <w:name w:val="Hyperlink"/>
    <w:uiPriority w:val="99"/>
    <w:unhideWhenUsed/>
    <w:qFormat/>
    <w:rPr>
      <w:color w:val="0563C1"/>
      <w:u w:val="single"/>
    </w:rPr>
  </w:style>
  <w:style w:type="character" w:styleId="CommentReference">
    <w:name w:val="annotation reference"/>
    <w:uiPriority w:val="99"/>
    <w:unhideWhenUsed/>
    <w:qFormat/>
    <w:rPr>
      <w:sz w:val="21"/>
      <w:szCs w:val="21"/>
    </w:rPr>
  </w:style>
  <w:style w:type="character" w:styleId="FootnoteReference">
    <w:name w:val="footnote reference"/>
    <w:uiPriority w:val="99"/>
    <w:unhideWhenUsed/>
    <w:qFormat/>
    <w:rPr>
      <w:vertAlign w:val="superscript"/>
    </w:rPr>
  </w:style>
  <w:style w:type="character" w:customStyle="1" w:styleId="Char">
    <w:name w:val="正文首行缩进 Char"/>
    <w:link w:val="BodyTextFirstIndent"/>
    <w:qFormat/>
    <w:rPr>
      <w:rFonts w:ascii="宋体" w:eastAsia="仿宋_GB2312" w:hAnsi="宋体" w:cs="宋体"/>
      <w:kern w:val="2"/>
      <w:sz w:val="21"/>
      <w:szCs w:val="22"/>
      <w:lang w:val="zh-CN" w:bidi="zh-CN"/>
    </w:rPr>
  </w:style>
  <w:style w:type="character" w:customStyle="1" w:styleId="Char0">
    <w:name w:val="批注文字 Char"/>
    <w:link w:val="CommentText"/>
    <w:uiPriority w:val="99"/>
    <w:semiHidden/>
    <w:qFormat/>
    <w:rPr>
      <w:rFonts w:ascii="Calibri" w:eastAsia="仿宋_GB2312" w:hAnsi="Calibri" w:cs="黑体"/>
      <w:sz w:val="28"/>
    </w:rPr>
  </w:style>
  <w:style w:type="character" w:customStyle="1" w:styleId="Char1">
    <w:name w:val="页脚 Char"/>
    <w:link w:val="Footer"/>
    <w:uiPriority w:val="99"/>
    <w:qFormat/>
    <w:rPr>
      <w:sz w:val="18"/>
      <w:szCs w:val="18"/>
    </w:rPr>
  </w:style>
  <w:style w:type="character" w:customStyle="1" w:styleId="Char2">
    <w:name w:val="页眉 Char"/>
    <w:link w:val="Header"/>
    <w:uiPriority w:val="99"/>
    <w:qFormat/>
    <w:rPr>
      <w:sz w:val="18"/>
      <w:szCs w:val="18"/>
    </w:rPr>
  </w:style>
  <w:style w:type="character" w:customStyle="1" w:styleId="1Char">
    <w:name w:val="标题 1 Char"/>
    <w:link w:val="Heading1"/>
    <w:uiPriority w:val="9"/>
    <w:qFormat/>
    <w:rPr>
      <w:rFonts w:ascii="Calibri" w:eastAsia="仿宋_GB2312" w:hAnsi="Calibri" w:cs="黑体"/>
      <w:b/>
      <w:bCs/>
      <w:kern w:val="44"/>
      <w:sz w:val="44"/>
      <w:szCs w:val="44"/>
    </w:rPr>
  </w:style>
  <w:style w:type="character" w:customStyle="1" w:styleId="fontstyle01">
    <w:name w:val="fontstyle01"/>
    <w:qFormat/>
    <w:rPr>
      <w:rFonts w:ascii="仿宋_GB2312" w:eastAsia="仿宋_GB2312" w:hAnsi="仿宋_GB2312" w:cs="仿宋_GB2312"/>
      <w:color w:val="000000"/>
      <w:sz w:val="32"/>
      <w:szCs w:val="32"/>
    </w:rPr>
  </w:style>
  <w:style w:type="character" w:customStyle="1" w:styleId="Char3">
    <w:name w:val="日期 Char"/>
    <w:link w:val="Date"/>
    <w:uiPriority w:val="99"/>
    <w:semiHidden/>
    <w:qFormat/>
    <w:rPr>
      <w:rFonts w:ascii="Calibri" w:eastAsia="仿宋_GB2312" w:hAnsi="Calibri" w:cs="黑体"/>
      <w:sz w:val="28"/>
    </w:rPr>
  </w:style>
  <w:style w:type="character" w:customStyle="1" w:styleId="2Char">
    <w:name w:val="标题 2 Char"/>
    <w:link w:val="Heading2"/>
    <w:uiPriority w:val="9"/>
    <w:qFormat/>
    <w:rPr>
      <w:rFonts w:ascii="等线 Light" w:eastAsia="等线 Light" w:hAnsi="等线 Light" w:cs="Times New Roman"/>
      <w:b/>
      <w:bCs/>
      <w:sz w:val="32"/>
      <w:szCs w:val="32"/>
    </w:rPr>
  </w:style>
  <w:style w:type="character" w:customStyle="1" w:styleId="Char4">
    <w:name w:val="正文文本 Char"/>
    <w:link w:val="BodyText"/>
    <w:uiPriority w:val="99"/>
    <w:semiHidden/>
    <w:qFormat/>
    <w:rPr>
      <w:rFonts w:ascii="Calibri" w:eastAsia="仿宋_GB2312" w:hAnsi="Calibri" w:cs="黑体"/>
      <w:kern w:val="2"/>
      <w:sz w:val="28"/>
      <w:szCs w:val="22"/>
    </w:rPr>
  </w:style>
  <w:style w:type="character" w:customStyle="1" w:styleId="Char5">
    <w:name w:val="批注框文本 Char"/>
    <w:link w:val="BalloonText"/>
    <w:uiPriority w:val="99"/>
    <w:semiHidden/>
    <w:qFormat/>
    <w:rPr>
      <w:rFonts w:ascii="Calibri" w:eastAsia="仿宋_GB2312" w:hAnsi="Calibri" w:cs="黑体"/>
      <w:kern w:val="2"/>
      <w:sz w:val="18"/>
      <w:szCs w:val="18"/>
    </w:rPr>
  </w:style>
  <w:style w:type="character" w:customStyle="1" w:styleId="Char6">
    <w:name w:val="脚注文本 Char"/>
    <w:link w:val="FootnoteText"/>
    <w:uiPriority w:val="99"/>
    <w:semiHidden/>
    <w:qFormat/>
    <w:rPr>
      <w:rFonts w:ascii="Calibri" w:eastAsia="仿宋_GB2312" w:hAnsi="Calibri" w:cs="黑体"/>
      <w:sz w:val="18"/>
      <w:szCs w:val="18"/>
    </w:rPr>
  </w:style>
  <w:style w:type="character" w:customStyle="1" w:styleId="Char7">
    <w:name w:val="批注主题 Char"/>
    <w:link w:val="CommentSubject"/>
    <w:uiPriority w:val="99"/>
    <w:semiHidden/>
    <w:qFormat/>
    <w:rPr>
      <w:rFonts w:ascii="Calibri" w:eastAsia="仿宋_GB2312" w:hAnsi="Calibri" w:cs="黑体"/>
      <w:b/>
      <w:bCs/>
      <w:sz w:val="28"/>
    </w:rPr>
  </w:style>
  <w:style w:type="paragraph" w:customStyle="1" w:styleId="WPSOffice1">
    <w:name w:val="WPSOffice手动目录 1"/>
    <w:qFormat/>
    <w:rPr>
      <w:rFonts w:ascii="等线" w:eastAsia="等线" w:hAnsi="等线" w:cs="Times New Roman"/>
      <w:lang w:val="en-US" w:eastAsia="zh-CN" w:bidi="ar-SA"/>
    </w:rPr>
  </w:style>
  <w:style w:type="paragraph" w:customStyle="1" w:styleId="WPSOffice2">
    <w:name w:val="WPSOffice手动目录 2"/>
    <w:qFormat/>
    <w:pPr>
      <w:ind w:left="200" w:leftChars="200"/>
    </w:pPr>
    <w:rPr>
      <w:rFonts w:ascii="等线" w:eastAsia="等线" w:hAnsi="等线" w:cs="Times New Roman"/>
      <w:lang w:val="en-US" w:eastAsia="zh-CN" w:bidi="ar-SA"/>
    </w:rPr>
  </w:style>
  <w:style w:type="paragraph" w:styleId="ListParagraph">
    <w:name w:val="List Paragraph"/>
    <w:basedOn w:val="Normal"/>
    <w:uiPriority w:val="34"/>
    <w:qFormat/>
    <w:pPr>
      <w:ind w:firstLine="420"/>
    </w:pPr>
  </w:style>
  <w:style w:type="paragraph" w:customStyle="1" w:styleId="TOC10">
    <w:name w:val="TOC 标题1"/>
    <w:basedOn w:val="Heading1"/>
    <w:next w:val="Normal"/>
    <w:uiPriority w:val="39"/>
    <w:unhideWhenUsed/>
    <w:qFormat/>
    <w:pPr>
      <w:widowControl/>
      <w:spacing w:before="240" w:after="0" w:line="259" w:lineRule="auto"/>
      <w:ind w:firstLine="0" w:firstLineChars="0"/>
      <w:jc w:val="left"/>
      <w:outlineLvl w:val="9"/>
    </w:pPr>
    <w:rPr>
      <w:rFonts w:ascii="等线 Light" w:eastAsia="等线 Light" w:hAnsi="等线 Light"/>
      <w:b w:val="0"/>
      <w:bCs w:val="0"/>
      <w:color w:val="2F5496"/>
      <w:kern w:val="0"/>
      <w:sz w:val="32"/>
      <w:szCs w:val="32"/>
    </w:rPr>
  </w:style>
  <w:style w:type="table" w:customStyle="1" w:styleId="1">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header" Target="header5.xml" /><Relationship Id="rId13" Type="http://schemas.openxmlformats.org/officeDocument/2006/relationships/footer" Target="footer4.xml" /><Relationship Id="rId14" Type="http://schemas.openxmlformats.org/officeDocument/2006/relationships/theme" Target="theme/theme1.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3.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1015</Words>
  <Characters>5789</Characters>
  <Application>Microsoft Office Word</Application>
  <DocSecurity>0</DocSecurity>
  <Lines>48</Lines>
  <Paragraphs>13</Paragraphs>
  <ScaleCrop>false</ScaleCrop>
  <Company>微软中国</Company>
  <LinksUpToDate>false</LinksUpToDate>
  <CharactersWithSpaces>6791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宇</dc:creator>
  <cp:lastModifiedBy>Administrator</cp:lastModifiedBy>
  <cp:revision>3</cp:revision>
  <cp:lastPrinted>2023-03-07T08:55:00Z</cp:lastPrinted>
  <dcterms:created xsi:type="dcterms:W3CDTF">2023-09-15T11:14:00Z</dcterms:created>
  <dcterms:modified xsi:type="dcterms:W3CDTF">2023-02-14T11:06:54Z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986BECBEA76647228EE74C7B0851F833</vt:lpwstr>
  </property>
  <property fmtid="{D5CDD505-2E9C-101B-9397-08002B2CF9AE}" pid="3" name="KSOProductBuildVer">
    <vt:lpwstr>2052-11.8.2.8555</vt:lpwstr>
  </property>
</Properties>
</file>