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hint="eastAsia"/>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项目名称：行政村工作队为民办实事经费</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hint="eastAsia"/>
          <w:kern w:val="0"/>
          <w:sz w:val="32"/>
          <w:szCs w:val="32"/>
          <w:lang w:val="en-US" w:eastAsia="zh-CN" w:bidi="en-US"/>
        </w:rPr>
      </w:pPr>
      <w:r>
        <w:rPr>
          <w:rFonts w:ascii="仿宋_GB2312" w:hAnsi="Times New Roman" w:cs="Times New Roman" w:hint="eastAsia"/>
          <w:kern w:val="0"/>
          <w:sz w:val="32"/>
          <w:szCs w:val="32"/>
          <w:lang w:bidi="en-US"/>
        </w:rPr>
        <w:t>实施单位（公章）：</w:t>
      </w:r>
      <w:r>
        <w:rPr>
          <w:rFonts w:ascii="仿宋_GB2312" w:hAnsi="Times New Roman" w:cs="Times New Roman" w:hint="eastAsia"/>
          <w:kern w:val="0"/>
          <w:sz w:val="32"/>
          <w:szCs w:val="32"/>
          <w:lang w:val="en-US" w:eastAsia="zh-CN" w:bidi="en-US"/>
        </w:rPr>
        <w:t>中共乌苏市委员会机构编制委</w:t>
      </w:r>
    </w:p>
    <w:p>
      <w:pPr>
        <w:spacing w:line="480" w:lineRule="auto"/>
        <w:ind w:firstLine="4285" w:firstLineChars="1339"/>
        <w:jc w:val="left"/>
        <w:rPr>
          <w:rFonts w:ascii="仿宋_GB2312" w:eastAsia="仿宋_GB2312" w:hAnsi="Times New Roman" w:cs="Times New Roman" w:hint="default"/>
          <w:kern w:val="0"/>
          <w:sz w:val="32"/>
          <w:szCs w:val="32"/>
          <w:lang w:val="en-US" w:eastAsia="zh-CN" w:bidi="en-US"/>
        </w:rPr>
      </w:pPr>
      <w:r>
        <w:rPr>
          <w:rFonts w:ascii="仿宋_GB2312" w:hAnsi="Times New Roman" w:cs="Times New Roman" w:hint="eastAsia"/>
          <w:kern w:val="0"/>
          <w:sz w:val="32"/>
          <w:szCs w:val="32"/>
          <w:lang w:val="en-US" w:eastAsia="zh-CN" w:bidi="en-US"/>
        </w:rPr>
        <w:t>员会办公室</w:t>
      </w:r>
    </w:p>
    <w:p>
      <w:pPr>
        <w:spacing w:line="480" w:lineRule="auto"/>
        <w:ind w:firstLine="1411" w:firstLineChars="441"/>
        <w:jc w:val="left"/>
        <w:rPr>
          <w:rFonts w:ascii="仿宋_GB2312" w:hAnsi="Times New Roman" w:cs="Times New Roman" w:hint="eastAsia"/>
          <w:kern w:val="0"/>
          <w:sz w:val="32"/>
          <w:szCs w:val="32"/>
          <w:lang w:val="en-US" w:eastAsia="zh-CN" w:bidi="en-US"/>
        </w:rPr>
      </w:pPr>
      <w:r>
        <w:rPr>
          <w:rFonts w:ascii="仿宋_GB2312" w:hAnsi="Times New Roman" w:cs="Times New Roman" w:hint="eastAsia"/>
          <w:kern w:val="0"/>
          <w:sz w:val="32"/>
          <w:szCs w:val="32"/>
          <w:lang w:bidi="en-US"/>
        </w:rPr>
        <w:t>主管部门（公章）：</w:t>
      </w:r>
      <w:r>
        <w:rPr>
          <w:rFonts w:ascii="仿宋_GB2312" w:hAnsi="Times New Roman" w:cs="Times New Roman" w:hint="eastAsia"/>
          <w:kern w:val="0"/>
          <w:sz w:val="32"/>
          <w:szCs w:val="32"/>
          <w:lang w:val="en-US" w:eastAsia="zh-CN" w:bidi="en-US"/>
        </w:rPr>
        <w:t>中共乌苏市委员会机构编制委</w:t>
      </w:r>
    </w:p>
    <w:p>
      <w:pPr>
        <w:spacing w:line="480" w:lineRule="auto"/>
        <w:ind w:firstLine="4285" w:firstLineChars="1339"/>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val="en-US" w:eastAsia="zh-CN" w:bidi="en-US"/>
        </w:rPr>
        <w:t>员会办公室</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项目负责人（签章）：</w:t>
      </w:r>
      <w:r>
        <w:rPr>
          <w:rFonts w:ascii="仿宋_GB2312" w:hAnsi="Times New Roman" w:cs="Times New Roman" w:hint="eastAsia"/>
          <w:kern w:val="0"/>
          <w:sz w:val="32"/>
          <w:szCs w:val="32"/>
          <w:lang w:val="en-US" w:eastAsia="zh-CN" w:bidi="en-US"/>
        </w:rPr>
        <w:t>何欢</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left="0" w:firstLine="0" w:leftChars="0" w:firstLineChars="0"/>
        <w:rPr>
          <w:rFonts w:ascii="仿宋_GB2312" w:hAnsi="Times New Roman" w:cs="Times New Roman"/>
          <w:sz w:val="32"/>
          <w:szCs w:val="32"/>
          <w:lang w:bidi="en-US"/>
        </w:rPr>
        <w:sectPr>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Fonts w:hint="eastAsia"/>
        </w:rPr>
      </w:pPr>
      <w:r>
        <w:rPr>
          <w:rFonts w:ascii="仿宋" w:eastAsia="仿宋" w:hAnsi="仿宋" w:cs="仿宋" w:hint="eastAsia"/>
          <w:b/>
          <w:sz w:val="48"/>
          <w:szCs w:val="40"/>
        </w:rPr>
        <w:fldChar w:fldCharType="end"/>
      </w:r>
    </w:p>
    <w:p>
      <w:pPr>
        <w:tabs>
          <w:tab w:val="left" w:pos="1224"/>
        </w:tabs>
        <w:ind w:firstLine="560"/>
        <w:sectPr>
          <w:headerReference w:type="default" r:id="rId12"/>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hint="eastAsia"/>
          <w:b/>
          <w:bCs/>
          <w:kern w:val="0"/>
          <w:sz w:val="32"/>
          <w:szCs w:val="32"/>
          <w:lang w:bidi="en-US"/>
        </w:rPr>
      </w:pPr>
      <w:bookmarkStart w:id="0" w:name="_Toc13154"/>
      <w:bookmarkStart w:id="1" w:name="_Toc67911601"/>
    </w:p>
    <w:p>
      <w:pPr>
        <w:spacing w:line="360" w:lineRule="auto"/>
        <w:ind w:firstLine="0" w:firstLineChars="0"/>
        <w:outlineLvl w:val="0"/>
        <w:rPr>
          <w:rFonts w:ascii="仿宋_GB2312" w:hAnsi="Times New Roman" w:cs="Times New Roman"/>
          <w:b/>
          <w:bCs/>
          <w:kern w:val="0"/>
          <w:sz w:val="32"/>
          <w:szCs w:val="32"/>
          <w:lang w:bidi="en-US"/>
        </w:rPr>
      </w:pPr>
      <w:r>
        <w:rPr>
          <w:rFonts w:ascii="仿宋_GB2312" w:hAnsi="Times New Roman" w:cs="Times New Roman" w:hint="eastAsia"/>
          <w:b/>
          <w:bCs/>
          <w:kern w:val="0"/>
          <w:sz w:val="32"/>
          <w:szCs w:val="32"/>
          <w:lang w:bidi="en-US"/>
        </w:rPr>
        <w:t>一、基本情况</w:t>
      </w:r>
      <w:bookmarkEnd w:id="0"/>
      <w:bookmarkEnd w:id="1"/>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bCs/>
          <w:kern w:val="0"/>
          <w:sz w:val="28"/>
          <w:szCs w:val="28"/>
          <w:lang w:bidi="en-US"/>
        </w:rPr>
      </w:pPr>
      <w:bookmarkStart w:id="2" w:name="_Toc67911602"/>
      <w:bookmarkStart w:id="3" w:name="_Toc2044"/>
      <w:r>
        <w:rPr>
          <w:rFonts w:ascii="仿宋_GB2312" w:eastAsia="仿宋_GB2312" w:hAnsi="仿宋_GB2312" w:cs="仿宋_GB2312" w:hint="eastAsia"/>
          <w:b/>
          <w:bCs/>
          <w:kern w:val="0"/>
          <w:sz w:val="28"/>
          <w:szCs w:val="28"/>
          <w:lang w:bidi="en-US"/>
        </w:rPr>
        <w:t>（一）项目概况：</w:t>
      </w:r>
      <w:bookmarkEnd w:id="2"/>
      <w:bookmarkEnd w:id="3"/>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b/>
          <w:bCs/>
          <w:kern w:val="0"/>
          <w:sz w:val="28"/>
          <w:szCs w:val="28"/>
        </w:rPr>
        <w:t>1、项目背景</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根据工作安排，2022 年行政村“为民办实事”经费已下达至各经费所在地。现将相关工作提示如下:</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各乡镇、街道要督促各“访惠聚”工作队制定本年度“为民办实事”经费使用计划表，由工作队会同村“两委”按照经费使用比例和范围，确定本年度经费使用计划，经费使用计划要进行公示 (5 个工作日)，公示完毕上报乡镇、街道初审，再由各经费所在地审定后组织实施，报市访办备案。请与 5月9日前上报计划表至市访办备案。</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2</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请各经费所在地严格审批制度，加快审批流程，严格经费使用比例和范围。催促各行政村工作队加快票据整理和经费使用进度，对符合拨付比例的经费尽快申请拨付请各经费所在地于 6 月 30日前将行政村“为民办实事”经费申请完毕。</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3</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请行政村经费所在地从 5 月初起，每半个月上报一次使用“为民办实事”经费统计表，直至6月 30日。6 月30 日后市访办将不再收取经费统计表，不再下拨本年度行政村经费。请各经费所在地按时上报相关报表，请勿影响本年度行政村经费拨付。</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4</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请各乡镇、街道认真组织各“访惠聚”工作队学习《“访惠聚”为民办实事工作经费审核流程》文件精神，按比例按使用范围制定本年度经费计划。</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主要内容及实施情况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为民办实事经费主要用于“访惠聚”驻村工作队为民办实事、办好事、解决难题以及组织开展各类学习、培训、宣教、激励等活动。2022年5-6月，投入13253元，用于购买党徽、国旗、笔记本、档案盒等办公用品、工具以及办公设备维修；用于访贫问苦，为群众送信息、送服务、送温暖。2022年全年，投入12498元，用于购买给村民的慰问品和学习用品；改善村民生活环境，提高村民生活质量。2022年5-6月，投入30000元用于村庄道路修缮以及制作宣传教育栏、党员形象台。</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3、资金投入和使用情况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lang w:val="en-US" w:eastAsia="zh-CN"/>
        </w:rPr>
      </w:pPr>
      <w:r>
        <w:rPr>
          <w:rFonts w:ascii="仿宋_GB2312" w:eastAsia="仿宋_GB2312" w:hAnsi="仿宋_GB2312" w:cs="仿宋_GB2312" w:hint="eastAsia"/>
          <w:sz w:val="28"/>
          <w:szCs w:val="28"/>
          <w:lang w:val="en-US" w:eastAsia="zh-CN"/>
        </w:rPr>
        <w:t>资金投入情况：该项目年初预算数5.91万元，全年预算数5.91万元，实际总投入5.91万元，该项目资金已全部落实到位,资金来源为财政拨款资金。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sz w:val="28"/>
          <w:szCs w:val="28"/>
          <w:lang w:val="en-US" w:eastAsia="zh-CN"/>
        </w:rPr>
        <w:t>资金使用情况：该项目年初预算数5.91万元，全年预算数5.91万元，全年执行数5.91万元，预算执行率为100%，用于村庄修缮，制作宣传教育栏、党员形象台，购买慰问品、办公用品、工具，办公设备维修等。</w:t>
      </w:r>
    </w:p>
    <w:p>
      <w:pPr>
        <w:keepNext w:val="0"/>
        <w:keepLines w:val="0"/>
        <w:pageBreakBefore w:val="0"/>
        <w:kinsoku/>
        <w:wordWrap/>
        <w:overflowPunct/>
        <w:topLinePunct w:val="0"/>
        <w:autoSpaceDE/>
        <w:autoSpaceDN/>
        <w:bidi w:val="0"/>
        <w:adjustRightInd/>
        <w:snapToGrid/>
        <w:spacing w:line="360" w:lineRule="auto"/>
        <w:ind w:left="0" w:firstLine="560" w:leftChars="0" w:firstLineChars="200"/>
        <w:textAlignment w:val="auto"/>
        <w:rPr>
          <w:rFonts w:ascii="仿宋_GB2312" w:eastAsia="仿宋_GB2312" w:hAnsi="仿宋_GB2312" w:cs="仿宋_GB2312" w:hint="eastAsia"/>
          <w:b/>
          <w:bCs/>
          <w:kern w:val="0"/>
          <w:sz w:val="28"/>
          <w:szCs w:val="28"/>
          <w:lang w:bidi="en-US"/>
        </w:rPr>
      </w:pPr>
      <w:bookmarkStart w:id="4" w:name="_Toc67911603"/>
      <w:bookmarkStart w:id="5" w:name="_Toc4316"/>
      <w:r>
        <w:rPr>
          <w:rFonts w:ascii="仿宋_GB2312" w:eastAsia="仿宋_GB2312" w:hAnsi="仿宋_GB2312" w:cs="仿宋_GB2312" w:hint="eastAsia"/>
          <w:b/>
          <w:bCs/>
          <w:kern w:val="0"/>
          <w:sz w:val="28"/>
          <w:szCs w:val="28"/>
          <w:lang w:bidi="en-US"/>
        </w:rPr>
        <w:br w:type="page"/>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b/>
          <w:bCs/>
          <w:kern w:val="0"/>
          <w:sz w:val="28"/>
          <w:szCs w:val="28"/>
          <w:lang w:bidi="en-US"/>
        </w:rPr>
        <w:t>（二）项目绩效目标：</w:t>
      </w:r>
      <w:bookmarkEnd w:id="4"/>
      <w:bookmarkEnd w:id="5"/>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1、总体目标：</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中共乌苏市委员会机构编制委员会办公室为乌苏市委直属的正科行政单位，其主要职责是：一是为民办实事经费主要用于“访惠聚”驻村工作队为民办实事、办好事、解决难题以及组织开展各类学习、培训、宣教、激励等活动。二是用于访贫问苦，为群众送信息、送服务、送温暖；3、改善村民生活环境，提高村民生活质量。</w:t>
      </w:r>
    </w:p>
    <w:p>
      <w:pPr>
        <w:keepNext w:val="0"/>
        <w:keepLines w:val="0"/>
        <w:pageBreakBefore w:val="0"/>
        <w:numPr>
          <w:ilvl w:val="0"/>
          <w:numId w:val="2"/>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 xml:space="preserve">阶段性目标：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为民办实事经费主要用于“访惠聚”驻村工作队为民办实事、办好事、解决难题以及组织开展各类学习、培训、宣教、激励等活动。2022年5-6月，投入13253元，用于购买党徽、国旗、笔记本、档案盒等办公用品、工具以及办公设备维修；用于访贫问苦，为群众送信息、送服务、送温暖。2022年全年，投入12498元，用于购买给村民的慰问品和学习用品；改善村民生活环境，提高村民生活质量。2022年5-6月，投入30000元用于村庄道路修缮以及制作宣传教育栏、党员形象台。</w:t>
      </w:r>
    </w:p>
    <w:p>
      <w:pPr>
        <w:spacing w:line="360" w:lineRule="auto"/>
        <w:ind w:firstLine="0" w:firstLineChars="0"/>
        <w:outlineLvl w:val="0"/>
        <w:rPr>
          <w:b/>
          <w:bCs/>
          <w:sz w:val="32"/>
          <w:szCs w:val="32"/>
        </w:rPr>
      </w:pPr>
      <w:bookmarkStart w:id="6" w:name="_Toc67911604"/>
      <w:bookmarkStart w:id="7" w:name="_Toc7851"/>
      <w:r>
        <w:rPr>
          <w:rFonts w:hint="eastAsia"/>
          <w:b/>
          <w:bCs/>
          <w:sz w:val="32"/>
          <w:szCs w:val="32"/>
        </w:rPr>
        <w:t>二、绩效评价工作开展情况</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8" w:name="_Toc67911605"/>
      <w:bookmarkStart w:id="9" w:name="_Toc20568"/>
      <w:r>
        <w:rPr>
          <w:rFonts w:ascii="仿宋_GB2312" w:eastAsia="仿宋_GB2312" w:hAnsi="仿宋_GB2312" w:cs="仿宋_GB2312" w:hint="eastAsia"/>
          <w:b/>
          <w:bCs/>
          <w:sz w:val="28"/>
          <w:szCs w:val="28"/>
        </w:rPr>
        <w:t>（一）绩效评价目的、对象和范围</w:t>
      </w:r>
      <w:bookmarkEnd w:id="8"/>
      <w:bookmarkEnd w:id="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1.评价目的</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sz w:val="28"/>
          <w:szCs w:val="28"/>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2、绩效评价对象</w:t>
      </w:r>
      <w:r>
        <w:rPr>
          <w:rStyle w:val="CommentReference"/>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行政村工作队为民办实事经费</w:t>
      </w:r>
      <w:r>
        <w:rPr>
          <w:rFonts w:ascii="仿宋_GB2312" w:eastAsia="仿宋_GB2312" w:hAnsi="仿宋_GB2312" w:cs="仿宋_GB2312"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3、绩效评价范围</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次评价从项目决策（包括绩效目标、决策过程）、项目管理（包括项目资金、项目实施）、项目产出（包括项目产出数量、产出质量、产出时效和产出成本）项目效益四个维度进行行政村工作队为民办实事经费项目评价，评价核心为专项资金的支出完成情况和效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10" w:name="_Toc23646"/>
      <w:bookmarkStart w:id="11" w:name="_Toc67911606"/>
      <w:bookmarkStart w:id="12" w:name="_Hlk67586765"/>
      <w:r>
        <w:rPr>
          <w:rFonts w:ascii="仿宋_GB2312" w:eastAsia="仿宋_GB2312" w:hAnsi="仿宋_GB2312" w:cs="仿宋_GB2312" w:hint="eastAsia"/>
          <w:b/>
          <w:bCs/>
          <w:sz w:val="28"/>
          <w:szCs w:val="28"/>
        </w:rPr>
        <w:t>（二）绩效评价原则、指标体系、方法及标准</w:t>
      </w:r>
      <w:bookmarkEnd w:id="10"/>
      <w:bookmarkEnd w:id="11"/>
    </w:p>
    <w:bookmarkEnd w:id="12"/>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2.评价指标体系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行政村工作队为民办实事经费项目支出绩效评价指标体系(详见附件3)：</w:t>
      </w:r>
      <w:bookmarkStart w:id="13" w:name="_Hlk6758603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3.评价方法</w:t>
      </w:r>
    </w:p>
    <w:bookmarkEnd w:id="13"/>
    <w:p>
      <w:pPr>
        <w:pStyle w:val="BodyTextFirstIndent"/>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kern w:val="2"/>
          <w:sz w:val="28"/>
          <w:szCs w:val="28"/>
          <w:lang w:val="en-US" w:eastAsia="zh-CN" w:bidi="ar-SA"/>
        </w:rPr>
      </w:pPr>
      <w:r>
        <w:rPr>
          <w:rFonts w:ascii="仿宋_GB2312" w:eastAsia="仿宋_GB2312" w:hAnsi="仿宋_GB2312" w:cs="仿宋_GB2312" w:hint="eastAsia"/>
          <w:kern w:val="2"/>
          <w:sz w:val="28"/>
          <w:szCs w:val="28"/>
          <w:lang w:val="en-US" w:eastAsia="zh-CN"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4.评价标准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·《自治区党委自治区人民政府关于全面实施预算绩效管理的实施意见》（新党发〔2018〕30号）；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·《2023年度推进塔城地区全面实施预算绩效管理工作规划》。</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14" w:name="_Toc12695"/>
      <w:bookmarkStart w:id="15" w:name="_Toc67911607"/>
      <w:r>
        <w:rPr>
          <w:rFonts w:ascii="仿宋_GB2312" w:eastAsia="仿宋_GB2312" w:hAnsi="仿宋_GB2312" w:cs="仿宋_GB2312" w:hint="eastAsia"/>
          <w:b/>
          <w:bCs/>
          <w:sz w:val="28"/>
          <w:szCs w:val="28"/>
        </w:rPr>
        <w:t>（三）绩效评价工作过程</w:t>
      </w:r>
      <w:bookmarkEnd w:id="14"/>
      <w:bookmarkEnd w:id="15"/>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left="0" w:firstLine="0" w:leftChars="0" w:firstLineChars="0"/>
        <w:rPr>
          <w:rFonts w:ascii="仿宋_GB2312"/>
          <w:b/>
          <w:bCs/>
          <w:sz w:val="32"/>
          <w:szCs w:val="32"/>
        </w:rPr>
      </w:pPr>
      <w:bookmarkStart w:id="16" w:name="_Toc28860"/>
      <w:bookmarkStart w:id="17" w:name="_Toc67911608"/>
      <w:r>
        <w:rPr>
          <w:rFonts w:ascii="仿宋_GB2312" w:hint="eastAsia"/>
          <w:b/>
          <w:bCs/>
          <w:sz w:val="32"/>
          <w:szCs w:val="32"/>
        </w:rPr>
        <w:t>三、综合评价情况及评价结论</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b/>
          <w:bCs/>
          <w:szCs w:val="28"/>
        </w:rPr>
      </w:pPr>
      <w:bookmarkStart w:id="18" w:name="_Toc67911609"/>
      <w:bookmarkStart w:id="19" w:name="_Toc14030"/>
      <w:r>
        <w:rPr>
          <w:rFonts w:ascii="仿宋_GB2312" w:hint="eastAsia"/>
          <w:b/>
          <w:bCs/>
          <w:szCs w:val="28"/>
        </w:rPr>
        <w:t>（一）评价结论</w:t>
      </w:r>
      <w:bookmarkEnd w:id="18"/>
      <w:bookmarkEnd w:id="1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hint="eastAsia"/>
          <w:b/>
          <w:bCs/>
          <w:szCs w:val="28"/>
        </w:rPr>
      </w:pPr>
      <w:r>
        <w:rPr>
          <w:rFonts w:ascii="仿宋_GB2312" w:hint="eastAsia"/>
          <w:szCs w:val="28"/>
        </w:rPr>
        <w:t>结合项目特点，制定符合项目实际的绩效评价指标体系及评分标准，通过数据采集、问卷调查及访谈等形式，对行政村工作队为民办实事经费进行客观评价</w:t>
      </w:r>
      <w:bookmarkStart w:id="20" w:name="_Toc23106"/>
      <w:bookmarkStart w:id="21" w:name="_Toc67911610"/>
      <w:r>
        <w:rPr>
          <w:rFonts w:ascii="仿宋_GB2312" w:hint="eastAsia"/>
          <w:szCs w:val="28"/>
        </w:rPr>
        <w:t>。</w:t>
      </w:r>
    </w:p>
    <w:bookmarkEnd w:id="20"/>
    <w:bookmarkEnd w:id="21"/>
    <w:p>
      <w:pPr>
        <w:spacing w:line="360" w:lineRule="auto"/>
        <w:ind w:firstLine="0" w:firstLineChars="0"/>
        <w:outlineLvl w:val="0"/>
        <w:rPr>
          <w:rFonts w:ascii="仿宋_GB2312"/>
          <w:b/>
          <w:bCs/>
          <w:sz w:val="32"/>
          <w:szCs w:val="32"/>
        </w:rPr>
      </w:pPr>
      <w:bookmarkStart w:id="22" w:name="_Toc20059"/>
      <w:bookmarkStart w:id="23" w:name="_Toc67911611"/>
      <w:r>
        <w:rPr>
          <w:rFonts w:ascii="仿宋_GB2312" w:hint="eastAsia"/>
          <w:b/>
          <w:bCs/>
          <w:sz w:val="32"/>
          <w:szCs w:val="32"/>
        </w:rPr>
        <w:t>四、绩效评价指标分析</w:t>
      </w:r>
      <w:bookmarkEnd w:id="22"/>
      <w:bookmarkEnd w:id="23"/>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sz w:val="28"/>
          <w:szCs w:val="28"/>
        </w:rPr>
      </w:pPr>
      <w:bookmarkStart w:id="24" w:name="_Toc22626"/>
      <w:bookmarkStart w:id="25" w:name="_Toc67911612"/>
      <w:r>
        <w:rPr>
          <w:rFonts w:ascii="仿宋_GB2312" w:eastAsia="仿宋_GB2312" w:hAnsi="仿宋_GB2312" w:cs="仿宋_GB2312" w:hint="eastAsia"/>
          <w:b/>
          <w:bCs/>
          <w:sz w:val="28"/>
          <w:szCs w:val="28"/>
        </w:rPr>
        <w:t>（一）项目决策情况</w:t>
      </w:r>
      <w:bookmarkEnd w:id="24"/>
      <w:bookmarkEnd w:id="25"/>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2.立项程序规范性:项目按照规定的程序申请设立,审批文件、材料符合相关要求,事前已经过必要的可行性研究、专家论证、风险评估、绩效评估、集体决策。</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4.绩效指标明确性:将项目绩效目标细化分解为具体的绩效指标,通过清晰、可衡量的指标值予以体现,与项目目标任务数或计划数相对应。</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6.资金分配合理性:预算资金分配依据充分,资金分配额度合理，与项目单位或地方实际相适应。</w:t>
      </w:r>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26" w:name="_Toc16968"/>
      <w:bookmarkStart w:id="27" w:name="_Toc67911613"/>
      <w:r>
        <w:rPr>
          <w:rFonts w:ascii="仿宋_GB2312" w:eastAsia="仿宋_GB2312" w:hAnsi="仿宋_GB2312" w:cs="仿宋_GB2312" w:hint="eastAsia"/>
          <w:b/>
          <w:bCs/>
          <w:sz w:val="28"/>
          <w:szCs w:val="28"/>
        </w:rPr>
        <w:t>（二）项目过程情况</w:t>
      </w:r>
      <w:bookmarkEnd w:id="26"/>
      <w:bookmarkEnd w:id="27"/>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rPr>
        <w:t>1.资金到位率：</w:t>
      </w:r>
      <w:r>
        <w:rPr>
          <w:rFonts w:ascii="仿宋_GB2312" w:eastAsia="仿宋_GB2312" w:hAnsi="仿宋_GB2312" w:cs="仿宋_GB2312" w:hint="eastAsia"/>
          <w:color w:val="auto"/>
          <w:sz w:val="28"/>
          <w:szCs w:val="28"/>
        </w:rPr>
        <w:t xml:space="preserve"> 实际到位资金</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万元，预算资金</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万元，资金到位率100%。</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rPr>
        <w:t>2.预算执行率：</w:t>
      </w:r>
      <w:r>
        <w:rPr>
          <w:rFonts w:ascii="仿宋_GB2312" w:eastAsia="仿宋_GB2312" w:hAnsi="仿宋_GB2312" w:cs="仿宋_GB2312" w:hint="eastAsia"/>
          <w:color w:val="auto"/>
          <w:sz w:val="28"/>
          <w:szCs w:val="28"/>
        </w:rPr>
        <w:t>年初预算数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万元，全年预算数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万元，全年执行数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万元，预算执行率为</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3.资金使用合规性：</w:t>
      </w:r>
      <w:r>
        <w:rPr>
          <w:rFonts w:ascii="仿宋_GB2312" w:eastAsia="仿宋_GB2312" w:hAnsi="仿宋_GB2312" w:cs="仿宋_GB2312" w:hint="eastAsia"/>
          <w:sz w:val="28"/>
          <w:szCs w:val="28"/>
        </w:rPr>
        <w:t>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lang w:val="en-US" w:eastAsia="zh-CN"/>
        </w:rPr>
        <w:t>4</w:t>
      </w:r>
      <w:r>
        <w:rPr>
          <w:rFonts w:ascii="仿宋_GB2312" w:eastAsia="仿宋_GB2312" w:hAnsi="仿宋_GB2312" w:cs="仿宋_GB2312" w:hint="eastAsia"/>
          <w:b/>
          <w:bCs/>
          <w:sz w:val="28"/>
          <w:szCs w:val="28"/>
        </w:rPr>
        <w:t>.管理制度健全性：</w:t>
      </w:r>
      <w:r>
        <w:rPr>
          <w:rStyle w:val="fontstyle01"/>
          <w:rFonts w:ascii="仿宋_GB2312" w:eastAsia="仿宋_GB2312" w:hAnsi="仿宋_GB2312" w:cs="仿宋_GB2312" w:hint="eastAsia"/>
          <w:color w:val="auto"/>
          <w:sz w:val="28"/>
          <w:szCs w:val="28"/>
          <w:lang w:val="en-US" w:eastAsia="zh-CN"/>
        </w:rPr>
        <w:t>中共乌苏市委员会机构编制委员会办公室</w:t>
      </w:r>
      <w:r>
        <w:rPr>
          <w:rFonts w:ascii="仿宋_GB2312" w:eastAsia="仿宋_GB2312" w:hAnsi="仿宋_GB2312" w:cs="仿宋_GB2312" w:hint="eastAsia"/>
          <w:sz w:val="28"/>
          <w:szCs w:val="28"/>
        </w:rPr>
        <w:t>已制定相应的财务和业务管理制度，且制度合法、合规、完整，为项目顺利实施提供重要保障。</w:t>
      </w:r>
    </w:p>
    <w:p>
      <w:pPr>
        <w:keepNext w:val="0"/>
        <w:keepLines w:val="0"/>
        <w:pageBreakBefore w:val="0"/>
        <w:widowControl w:val="0"/>
        <w:kinsoku/>
        <w:wordWrap/>
        <w:overflowPunct/>
        <w:topLinePunct w:val="0"/>
        <w:autoSpaceDE w:val="0"/>
        <w:autoSpaceDN/>
        <w:bidi w:val="0"/>
        <w:adjustRightInd/>
        <w:snapToGrid/>
        <w:spacing w:line="360" w:lineRule="auto"/>
        <w:ind w:firstLine="560"/>
        <w:textAlignment w:val="auto"/>
        <w:rPr>
          <w:rFonts w:ascii="仿宋_GB2312" w:eastAsia="仿宋_GB2312" w:hAnsi="仿宋_GB2312" w:cs="仿宋_GB2312" w:hint="eastAsia"/>
          <w:b/>
          <w:kern w:val="0"/>
          <w:sz w:val="28"/>
          <w:szCs w:val="28"/>
        </w:rPr>
      </w:pPr>
      <w:r>
        <w:rPr>
          <w:rFonts w:ascii="仿宋_GB2312" w:eastAsia="仿宋_GB2312" w:hAnsi="仿宋_GB2312" w:cs="仿宋_GB2312" w:hint="eastAsia"/>
          <w:b/>
          <w:bCs/>
          <w:sz w:val="28"/>
          <w:szCs w:val="28"/>
          <w:lang w:val="en-US" w:eastAsia="zh-CN"/>
        </w:rPr>
        <w:t>5</w:t>
      </w:r>
      <w:r>
        <w:rPr>
          <w:rFonts w:ascii="仿宋_GB2312" w:eastAsia="仿宋_GB2312" w:hAnsi="仿宋_GB2312" w:cs="仿宋_GB2312" w:hint="eastAsia"/>
          <w:b/>
          <w:bCs/>
          <w:sz w:val="28"/>
          <w:szCs w:val="28"/>
        </w:rPr>
        <w:t>.制度执行有效性：</w:t>
      </w:r>
      <w:r>
        <w:rPr>
          <w:rFonts w:ascii="仿宋_GB2312" w:eastAsia="仿宋_GB2312" w:hAnsi="仿宋_GB2312" w:cs="仿宋_GB2312" w:hint="eastAsia"/>
          <w:sz w:val="28"/>
          <w:szCs w:val="28"/>
        </w:rPr>
        <w:t>根据现场调研和资料抽查情况，行政村工作队为民办实事经费已制严格遵守相关法律法规和相关管理规定，项目调整及支出调整手续完备，整体管理合理有序，项目完成后，及时将会计凭证、固定资产入库单等相关资料分类归档，制度执行有效。</w:t>
      </w:r>
      <w:bookmarkStart w:id="28" w:name="_Hlk67670213"/>
    </w:p>
    <w:bookmarkEnd w:id="28"/>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29" w:name="_Toc31704"/>
      <w:bookmarkStart w:id="30" w:name="_Toc67911614"/>
      <w:r>
        <w:rPr>
          <w:rFonts w:ascii="仿宋_GB2312" w:eastAsia="仿宋_GB2312" w:hAnsi="仿宋_GB2312" w:cs="仿宋_GB2312" w:hint="eastAsia"/>
          <w:b/>
          <w:bCs/>
          <w:sz w:val="28"/>
          <w:szCs w:val="28"/>
        </w:rPr>
        <w:t>（三）项目产出情况</w:t>
      </w:r>
      <w:bookmarkEnd w:id="29"/>
      <w:bookmarkEnd w:id="30"/>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1.产出数量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color w:val="auto"/>
          <w:sz w:val="28"/>
          <w:szCs w:val="28"/>
        </w:rPr>
        <w:t>数量指标：指标1：</w:t>
      </w:r>
      <w:r>
        <w:rPr>
          <w:rFonts w:ascii="仿宋_GB2312" w:eastAsia="仿宋_GB2312" w:hAnsi="仿宋_GB2312" w:cs="仿宋_GB2312" w:hint="eastAsia"/>
          <w:color w:val="auto"/>
          <w:sz w:val="28"/>
          <w:szCs w:val="28"/>
          <w:lang w:val="en-US" w:eastAsia="zh-CN"/>
        </w:rPr>
        <w:t>为民办实事村队数量</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≥1个</w:t>
      </w:r>
      <w:r>
        <w:rPr>
          <w:rFonts w:ascii="仿宋_GB2312" w:eastAsia="仿宋_GB2312" w:hAnsi="仿宋_GB2312" w:cs="仿宋_GB2312" w:hint="eastAsia"/>
          <w:color w:val="auto"/>
          <w:sz w:val="28"/>
          <w:szCs w:val="28"/>
        </w:rPr>
        <w:t xml:space="preserve"> ，实际完成值</w:t>
      </w:r>
      <w:r>
        <w:rPr>
          <w:rFonts w:ascii="仿宋_GB2312" w:eastAsia="仿宋_GB2312" w:hAnsi="仿宋_GB2312" w:cs="仿宋_GB2312" w:hint="eastAsia"/>
          <w:color w:val="auto"/>
          <w:sz w:val="28"/>
          <w:szCs w:val="28"/>
          <w:lang w:val="en-US" w:eastAsia="zh-CN"/>
        </w:rPr>
        <w:t>1个</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2.产出质量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lang w:eastAsia="zh-CN"/>
        </w:rPr>
      </w:pPr>
      <w:r>
        <w:rPr>
          <w:rFonts w:ascii="仿宋_GB2312" w:eastAsia="仿宋_GB2312" w:hAnsi="仿宋_GB2312" w:cs="仿宋_GB2312" w:hint="eastAsia"/>
          <w:color w:val="auto"/>
          <w:sz w:val="28"/>
          <w:szCs w:val="28"/>
        </w:rPr>
        <w:t>质量指标：指标1：</w:t>
      </w:r>
      <w:r>
        <w:rPr>
          <w:rFonts w:ascii="仿宋_GB2312" w:eastAsia="仿宋_GB2312" w:hAnsi="仿宋_GB2312" w:cs="仿宋_GB2312" w:hint="eastAsia"/>
          <w:color w:val="auto"/>
          <w:sz w:val="28"/>
          <w:szCs w:val="28"/>
          <w:lang w:val="en-US" w:eastAsia="zh-CN"/>
        </w:rPr>
        <w:t>服务群众覆盖率</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，实际完成值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3.产出时效</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lang w:eastAsia="zh-CN"/>
        </w:rPr>
      </w:pPr>
      <w:r>
        <w:rPr>
          <w:rFonts w:ascii="仿宋_GB2312" w:eastAsia="仿宋_GB2312" w:hAnsi="仿宋_GB2312" w:cs="仿宋_GB2312" w:hint="eastAsia"/>
          <w:color w:val="auto"/>
          <w:sz w:val="28"/>
          <w:szCs w:val="28"/>
        </w:rPr>
        <w:t>时效指标：指标1：</w:t>
      </w:r>
      <w:r>
        <w:rPr>
          <w:rFonts w:ascii="仿宋_GB2312" w:eastAsia="仿宋_GB2312" w:hAnsi="仿宋_GB2312" w:cs="仿宋_GB2312" w:hint="eastAsia"/>
          <w:color w:val="auto"/>
          <w:sz w:val="28"/>
          <w:szCs w:val="28"/>
          <w:lang w:val="en-US" w:eastAsia="zh-CN"/>
        </w:rPr>
        <w:t>工作开展及时率</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 xml:space="preserve"> ，实际完成值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4.产出成本</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lang w:eastAsia="zh-CN"/>
        </w:rPr>
      </w:pPr>
      <w:r>
        <w:rPr>
          <w:rFonts w:ascii="仿宋_GB2312" w:eastAsia="仿宋_GB2312" w:hAnsi="仿宋_GB2312" w:cs="仿宋_GB2312" w:hint="eastAsia"/>
          <w:color w:val="auto"/>
          <w:sz w:val="28"/>
          <w:szCs w:val="28"/>
        </w:rPr>
        <w:t>成本指标：指标1：</w:t>
      </w:r>
      <w:r>
        <w:rPr>
          <w:rFonts w:ascii="仿宋_GB2312" w:eastAsia="仿宋_GB2312" w:hAnsi="仿宋_GB2312" w:cs="仿宋_GB2312" w:hint="eastAsia"/>
          <w:color w:val="auto"/>
          <w:sz w:val="28"/>
          <w:szCs w:val="28"/>
          <w:lang w:val="en-US" w:eastAsia="zh-CN"/>
        </w:rPr>
        <w:t>为民办实事经费</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≤5.91万元</w:t>
      </w:r>
      <w:r>
        <w:rPr>
          <w:rFonts w:ascii="仿宋_GB2312" w:eastAsia="仿宋_GB2312" w:hAnsi="仿宋_GB2312" w:cs="仿宋_GB2312" w:hint="eastAsia"/>
          <w:color w:val="auto"/>
          <w:sz w:val="28"/>
          <w:szCs w:val="28"/>
        </w:rPr>
        <w:t>，实际完成值</w:t>
      </w:r>
      <w:r>
        <w:rPr>
          <w:rFonts w:ascii="仿宋_GB2312" w:eastAsia="仿宋_GB2312" w:hAnsi="仿宋_GB2312" w:cs="仿宋_GB2312" w:hint="eastAsia"/>
          <w:color w:val="auto"/>
          <w:sz w:val="28"/>
          <w:szCs w:val="28"/>
          <w:lang w:val="en-US" w:eastAsia="zh-CN"/>
        </w:rPr>
        <w:t>5.91万元</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color w:val="auto"/>
          <w:sz w:val="28"/>
          <w:szCs w:val="28"/>
        </w:rPr>
      </w:pPr>
      <w:bookmarkStart w:id="31" w:name="_Toc67911615"/>
      <w:bookmarkStart w:id="32" w:name="_Toc31697"/>
      <w:r>
        <w:rPr>
          <w:rFonts w:ascii="仿宋_GB2312" w:eastAsia="仿宋_GB2312" w:hAnsi="仿宋_GB2312" w:cs="仿宋_GB2312" w:hint="eastAsia"/>
          <w:b/>
          <w:bCs/>
          <w:color w:val="auto"/>
          <w:sz w:val="28"/>
          <w:szCs w:val="28"/>
        </w:rPr>
        <w:t>（四）项目效益情况</w:t>
      </w:r>
      <w:bookmarkEnd w:id="31"/>
      <w:bookmarkEnd w:id="32"/>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1.项目效益</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（1）实施效益</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lang w:val="en-US"/>
        </w:rPr>
      </w:pPr>
      <w:r>
        <w:rPr>
          <w:rFonts w:ascii="仿宋_GB2312" w:eastAsia="仿宋_GB2312" w:hAnsi="仿宋_GB2312" w:cs="仿宋_GB2312" w:hint="eastAsia"/>
          <w:b/>
          <w:bCs/>
          <w:sz w:val="28"/>
          <w:szCs w:val="28"/>
        </w:rPr>
        <w:t>社会效益指标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提高村民生活质量</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有效改善</w:t>
      </w:r>
      <w:r>
        <w:rPr>
          <w:rFonts w:ascii="仿宋_GB2312" w:eastAsia="仿宋_GB2312" w:hAnsi="仿宋_GB2312" w:cs="仿宋_GB2312" w:hint="eastAsia"/>
          <w:sz w:val="28"/>
          <w:szCs w:val="28"/>
        </w:rPr>
        <w:t>，实际完成值：达成年度指标。</w:t>
      </w:r>
      <w:r>
        <w:rPr>
          <w:rFonts w:ascii="仿宋_GB2312" w:eastAsia="仿宋_GB2312" w:hAnsi="仿宋_GB2312" w:cs="仿宋_GB2312" w:hint="eastAsia"/>
          <w:sz w:val="28"/>
          <w:szCs w:val="28"/>
          <w:lang w:val="en-US" w:eastAsia="zh-CN"/>
        </w:rPr>
        <w:t>为村民及时送去了大米、清油、面粉等必需品以及学习用品，提高了村民的生活质量。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lang w:val="en-US"/>
        </w:rPr>
      </w:pPr>
      <w:r>
        <w:rPr>
          <w:rFonts w:ascii="仿宋_GB2312" w:eastAsia="仿宋_GB2312" w:hAnsi="仿宋_GB2312" w:cs="仿宋_GB2312" w:hint="eastAsia"/>
          <w:b/>
          <w:bCs/>
          <w:sz w:val="28"/>
          <w:szCs w:val="28"/>
        </w:rPr>
        <w:t>生态效益指标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村民生活环境</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有效改善</w:t>
      </w:r>
      <w:r>
        <w:rPr>
          <w:rFonts w:ascii="仿宋_GB2312" w:eastAsia="仿宋_GB2312" w:hAnsi="仿宋_GB2312" w:cs="仿宋_GB2312" w:hint="eastAsia"/>
          <w:sz w:val="28"/>
          <w:szCs w:val="28"/>
        </w:rPr>
        <w:t>，实际完成值：达成年度指标。</w:t>
      </w:r>
      <w:r>
        <w:rPr>
          <w:rFonts w:ascii="仿宋_GB2312" w:eastAsia="仿宋_GB2312" w:hAnsi="仿宋_GB2312" w:cs="仿宋_GB2312" w:hint="eastAsia"/>
          <w:sz w:val="28"/>
          <w:szCs w:val="28"/>
          <w:lang w:val="en-US" w:eastAsia="zh-CN"/>
        </w:rPr>
        <w:t>修缮了村庄的道路，以及制作了宣传教育栏和党员形象台。</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（2）满意度</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服务对象满意度指标：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受益群众满意度</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95</w:t>
      </w:r>
      <w:r>
        <w:rPr>
          <w:rFonts w:ascii="仿宋_GB2312" w:eastAsia="仿宋_GB2312" w:hAnsi="仿宋_GB2312" w:cs="仿宋_GB2312" w:hint="eastAsia"/>
          <w:sz w:val="28"/>
          <w:szCs w:val="28"/>
        </w:rPr>
        <w:t>%，实际完成值：</w:t>
      </w:r>
      <w:r>
        <w:rPr>
          <w:rFonts w:ascii="仿宋_GB2312" w:eastAsia="仿宋_GB2312" w:hAnsi="仿宋_GB2312" w:cs="仿宋_GB2312" w:hint="eastAsia"/>
          <w:sz w:val="28"/>
          <w:szCs w:val="28"/>
          <w:lang w:val="en-US" w:eastAsia="zh-CN"/>
        </w:rPr>
        <w:t>95</w:t>
      </w:r>
      <w:r>
        <w:rPr>
          <w:rFonts w:ascii="仿宋_GB2312" w:eastAsia="仿宋_GB2312" w:hAnsi="仿宋_GB2312" w:cs="仿宋_GB2312" w:hint="eastAsia"/>
          <w:sz w:val="28"/>
          <w:szCs w:val="28"/>
        </w:rPr>
        <w:t>%。</w:t>
      </w:r>
    </w:p>
    <w:p>
      <w:pPr>
        <w:spacing w:line="360" w:lineRule="auto"/>
        <w:ind w:firstLine="0" w:firstLineChars="0"/>
        <w:outlineLvl w:val="0"/>
        <w:rPr>
          <w:rFonts w:ascii="仿宋_GB2312"/>
          <w:b/>
          <w:bCs/>
          <w:sz w:val="32"/>
          <w:szCs w:val="32"/>
        </w:rPr>
      </w:pPr>
      <w:bookmarkStart w:id="33" w:name="_Toc67911616"/>
      <w:bookmarkStart w:id="34" w:name="_Toc32407"/>
      <w:r>
        <w:rPr>
          <w:rFonts w:ascii="仿宋_GB2312" w:hint="eastAsia"/>
          <w:b/>
          <w:bCs/>
          <w:sz w:val="32"/>
          <w:szCs w:val="32"/>
        </w:rPr>
        <w:t>五、预算执行进度与绩效指标偏差</w:t>
      </w:r>
      <w:bookmarkEnd w:id="33"/>
      <w:bookmarkEnd w:id="34"/>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Cs w:val="28"/>
        </w:rPr>
      </w:pPr>
      <w:r>
        <w:rPr>
          <w:rFonts w:ascii="仿宋_GB2312" w:hint="eastAsia"/>
          <w:sz w:val="28"/>
          <w:szCs w:val="28"/>
        </w:rPr>
        <w:t>本项目预算执行率为</w:t>
      </w:r>
      <w:r>
        <w:rPr>
          <w:rFonts w:ascii="仿宋_GB2312" w:hint="eastAsia"/>
          <w:sz w:val="28"/>
          <w:szCs w:val="28"/>
          <w:lang w:val="en-US" w:eastAsia="zh-CN"/>
        </w:rPr>
        <w:t>100</w:t>
      </w:r>
      <w:r>
        <w:rPr>
          <w:rFonts w:ascii="仿宋_GB2312" w:hint="eastAsia"/>
          <w:sz w:val="28"/>
          <w:szCs w:val="28"/>
        </w:rPr>
        <w:t>%，指标总体完成率为</w:t>
      </w:r>
      <w:r>
        <w:rPr>
          <w:rFonts w:ascii="仿宋_GB2312" w:hint="eastAsia"/>
          <w:sz w:val="28"/>
          <w:szCs w:val="28"/>
          <w:lang w:val="en-US" w:eastAsia="zh-CN"/>
        </w:rPr>
        <w:t>100</w:t>
      </w:r>
      <w:r>
        <w:rPr>
          <w:rFonts w:ascii="仿宋_GB2312" w:hint="eastAsia"/>
          <w:sz w:val="28"/>
          <w:szCs w:val="28"/>
        </w:rPr>
        <w:t>%，二者之间的偏差值为</w:t>
      </w:r>
      <w:r>
        <w:rPr>
          <w:rFonts w:ascii="仿宋_GB2312" w:hint="eastAsia"/>
          <w:sz w:val="28"/>
          <w:szCs w:val="28"/>
          <w:lang w:val="en-US" w:eastAsia="zh-CN"/>
        </w:rPr>
        <w:t>0</w:t>
      </w:r>
      <w:r>
        <w:rPr>
          <w:rFonts w:ascii="仿宋_GB2312" w:hint="eastAsia"/>
          <w:sz w:val="28"/>
          <w:szCs w:val="28"/>
        </w:rPr>
        <w:t>%。因此，本项目较好地完成了年度总体目标，财政资金使用效益和效率较高。</w:t>
      </w:r>
    </w:p>
    <w:p>
      <w:pPr>
        <w:spacing w:line="360" w:lineRule="auto"/>
        <w:ind w:firstLine="0" w:firstLineChars="0"/>
        <w:outlineLvl w:val="0"/>
        <w:rPr>
          <w:rFonts w:ascii="仿宋_GB2312"/>
          <w:b/>
          <w:bCs/>
          <w:sz w:val="32"/>
          <w:szCs w:val="32"/>
        </w:rPr>
      </w:pPr>
      <w:bookmarkStart w:id="35" w:name="_Toc67911617"/>
      <w:bookmarkStart w:id="36" w:name="_Toc5156"/>
      <w:r>
        <w:rPr>
          <w:rFonts w:ascii="仿宋_GB2312" w:hint="eastAsia"/>
          <w:b/>
          <w:bCs/>
          <w:sz w:val="32"/>
          <w:szCs w:val="32"/>
        </w:rPr>
        <w:t>六、主要经验及做法、存在的问题及原因分析</w:t>
      </w:r>
      <w:bookmarkEnd w:id="35"/>
      <w:bookmarkEnd w:id="36"/>
    </w:p>
    <w:p>
      <w:pPr>
        <w:keepNext w:val="0"/>
        <w:keepLines w:val="0"/>
        <w:pageBreakBefore w:val="0"/>
        <w:kinsoku/>
        <w:wordWrap/>
        <w:overflowPunct/>
        <w:topLinePunct w:val="0"/>
        <w:autoSpaceDE/>
        <w:autoSpaceDN/>
        <w:bidi w:val="0"/>
        <w:adjustRightInd/>
        <w:snapToGrid/>
        <w:spacing w:line="360" w:lineRule="auto"/>
        <w:ind w:firstLine="560"/>
        <w:jc w:val="left"/>
        <w:textAlignment w:val="auto"/>
        <w:outlineLvl w:val="1"/>
        <w:rPr>
          <w:rFonts w:ascii="仿宋_GB2312"/>
          <w:b/>
          <w:bCs/>
          <w:sz w:val="28"/>
          <w:szCs w:val="28"/>
        </w:rPr>
      </w:pPr>
      <w:bookmarkStart w:id="37" w:name="_Toc67911618"/>
      <w:bookmarkStart w:id="38" w:name="_Toc18450"/>
      <w:r>
        <w:rPr>
          <w:rFonts w:ascii="仿宋_GB2312" w:hint="eastAsia"/>
          <w:b/>
          <w:bCs/>
          <w:sz w:val="28"/>
          <w:szCs w:val="28"/>
        </w:rPr>
        <w:t>（一）主要经验及做法</w:t>
      </w:r>
      <w:bookmarkEnd w:id="37"/>
      <w:bookmarkEnd w:id="38"/>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1、入户走访，了解民情。按照中村每两个月走访一遍的要求认真开展入户走访，了解村情民意，收集困难诉求和意见建议。</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bookmarkStart w:id="39" w:name="_Toc9205"/>
      <w:r>
        <w:rPr>
          <w:rFonts w:ascii="仿宋_GB2312" w:hint="eastAsia"/>
          <w:sz w:val="28"/>
          <w:szCs w:val="28"/>
          <w:lang w:val="en-US" w:eastAsia="zh-CN"/>
        </w:rPr>
        <w:t>2、负责“两个全覆盖”住户工作。从被住户群众摸排分类、住户干部统计分组、出住户方案计划做出住户台账到住户前培训资料发放、不论在岗还是轮休坚持每天统计当日住户情况并通过微信群和电话等方式督促住户干部按要求住户再到没半个月的总结表彰会、住户联谊活动和联户长家庭会议的组织和安排到住户资料收集和困难诉求统计反馈公示和所有档案的整理认真做好了每一项工作并及时整改每一次检查提出来的问题，查找不足发挥优势，尽我最大努力做好“两个全覆盖”住户工作。</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3、认真开展好“两个全覆盖”住户。每一次住户都认真开展“五同三送十个一”，严格按要求完成每一轮的住户任务。</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4、负责“农牧民夜校”。做好每个月的授课计划授课内容和PPT并每天通知授课老师并做好档案。</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5、发挥好传帮带作用，团结同事共同进步。教村干部学国语、写资料、操作计算机、改进工作方式方法等村干部遇到问题积极主动帮忙。生活中也积极多交流多谈心不断拉近距离到现在跟家人一样和睦相处共同进步。</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outlineLvl w:val="1"/>
        <w:rPr>
          <w:rFonts w:ascii="仿宋_GB2312"/>
          <w:b/>
          <w:bCs/>
          <w:sz w:val="28"/>
          <w:szCs w:val="28"/>
        </w:rPr>
      </w:pPr>
      <w:r>
        <w:rPr>
          <w:rFonts w:ascii="仿宋_GB2312" w:hint="eastAsia"/>
          <w:b/>
          <w:bCs/>
          <w:sz w:val="28"/>
          <w:szCs w:val="28"/>
        </w:rPr>
        <w:t>（二）存在的问题及原因分析</w:t>
      </w:r>
      <w:bookmarkEnd w:id="39"/>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360" w:lineRule="auto"/>
        <w:ind w:left="0" w:right="0" w:firstLine="0"/>
        <w:jc w:val="left"/>
        <w:textAlignment w:val="auto"/>
        <w:rPr>
          <w:rFonts w:ascii="仿宋_GB2312" w:eastAsia="仿宋_GB2312" w:hAnsi="Calibri" w:cs="黑体" w:hint="eastAsia"/>
          <w:kern w:val="2"/>
          <w:sz w:val="28"/>
          <w:szCs w:val="28"/>
          <w:lang w:val="en-US" w:eastAsia="zh-CN" w:bidi="ar-SA"/>
        </w:rPr>
      </w:pPr>
      <w:r>
        <w:rPr>
          <w:rFonts w:ascii="仿宋_GB2312" w:eastAsia="仿宋_GB2312" w:hAnsi="Calibri" w:cs="黑体" w:hint="eastAsia"/>
          <w:kern w:val="2"/>
          <w:sz w:val="28"/>
          <w:szCs w:val="28"/>
          <w:lang w:val="en-US" w:eastAsia="zh-CN" w:bidi="ar-SA"/>
        </w:rPr>
        <w:t>1、村里还有部分道路没有铺设柏油路面；</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360" w:lineRule="auto"/>
        <w:ind w:left="0" w:right="0" w:firstLine="0"/>
        <w:jc w:val="left"/>
        <w:textAlignment w:val="auto"/>
        <w:rPr>
          <w:rFonts w:ascii="仿宋_GB2312"/>
          <w:b/>
          <w:bCs/>
          <w:sz w:val="28"/>
          <w:szCs w:val="28"/>
        </w:rPr>
      </w:pPr>
      <w:r>
        <w:rPr>
          <w:rFonts w:ascii="仿宋_GB2312" w:eastAsia="仿宋_GB2312" w:hAnsi="Calibri" w:cs="黑体" w:hint="eastAsia"/>
          <w:kern w:val="2"/>
          <w:sz w:val="28"/>
          <w:szCs w:val="28"/>
          <w:lang w:val="en-US" w:eastAsia="zh-CN" w:bidi="ar-SA"/>
        </w:rPr>
        <w:t>2、随着经济迅速发展，农村农民生活水平普遍提高，但随之而来的精神文明建设没有跟上，造成村民业余文化生活匮乏。</w:t>
      </w:r>
    </w:p>
    <w:p>
      <w:pPr>
        <w:spacing w:line="360" w:lineRule="auto"/>
        <w:ind w:firstLine="0" w:firstLineChars="0"/>
        <w:outlineLvl w:val="0"/>
        <w:rPr>
          <w:rFonts w:ascii="仿宋_GB2312"/>
          <w:b/>
          <w:bCs/>
          <w:sz w:val="32"/>
          <w:szCs w:val="32"/>
        </w:rPr>
      </w:pPr>
      <w:bookmarkStart w:id="40" w:name="_Toc67911619"/>
      <w:bookmarkStart w:id="41" w:name="_Toc26872"/>
      <w:r>
        <w:rPr>
          <w:rFonts w:ascii="仿宋_GB2312" w:hint="eastAsia"/>
          <w:b/>
          <w:bCs/>
          <w:sz w:val="32"/>
          <w:szCs w:val="32"/>
        </w:rPr>
        <w:t>七、有关建议其他需要说明的问题</w:t>
      </w:r>
      <w:bookmarkEnd w:id="40"/>
      <w:bookmarkEnd w:id="41"/>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hint="eastAsia"/>
          <w:sz w:val="28"/>
          <w:szCs w:val="28"/>
        </w:rPr>
        <w:t>1</w:t>
      </w:r>
      <w:r>
        <w:rPr>
          <w:rFonts w:ascii="仿宋_GB2312"/>
          <w:sz w:val="28"/>
          <w:szCs w:val="28"/>
        </w:rPr>
        <w:t>.</w:t>
      </w:r>
      <w:r>
        <w:rPr>
          <w:rFonts w:ascii="仿宋_GB2312" w:hint="eastAsia"/>
          <w:sz w:val="28"/>
          <w:szCs w:val="28"/>
        </w:rPr>
        <w:t>项目支出政策和路径设计科学，符合实际需要；</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2.</w:t>
      </w:r>
      <w:r>
        <w:rPr>
          <w:rFonts w:ascii="仿宋_GB2312" w:hint="eastAsia"/>
          <w:sz w:val="28"/>
          <w:szCs w:val="28"/>
        </w:rPr>
        <w:t>项目安排准确</w:t>
      </w:r>
      <w:bookmarkStart w:id="42" w:name="_GoBack"/>
      <w:bookmarkEnd w:id="42"/>
      <w:r>
        <w:rPr>
          <w:rFonts w:ascii="仿宋_GB2312" w:hint="eastAsia"/>
          <w:sz w:val="28"/>
          <w:szCs w:val="28"/>
        </w:rPr>
        <w:t>，未发现背离项目立项初衷的情况；</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3.</w:t>
      </w:r>
      <w:r>
        <w:rPr>
          <w:rFonts w:ascii="仿宋_GB2312" w:hint="eastAsia"/>
          <w:sz w:val="28"/>
          <w:szCs w:val="28"/>
        </w:rPr>
        <w:t>项目的申报、审核机制完善；</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4.</w:t>
      </w:r>
      <w:r>
        <w:rPr>
          <w:rFonts w:ascii="仿宋_GB2312" w:hint="eastAsia"/>
          <w:sz w:val="28"/>
          <w:szCs w:val="28"/>
        </w:rPr>
        <w:t>未发现虚假行为和骗取财政资金的问题。</w:t>
      </w:r>
    </w:p>
    <w:p>
      <w:pPr>
        <w:spacing w:line="360" w:lineRule="auto"/>
        <w:ind w:firstLine="0" w:firstLineChars="0"/>
        <w:outlineLvl w:val="0"/>
        <w:rPr>
          <w:rFonts w:ascii="仿宋_GB2312" w:hint="eastAsia"/>
          <w:b/>
          <w:bCs/>
          <w:sz w:val="32"/>
          <w:szCs w:val="32"/>
        </w:rPr>
      </w:pPr>
      <w:bookmarkStart w:id="43" w:name="_Toc67911620"/>
      <w:bookmarkStart w:id="44" w:name="_Toc4317"/>
      <w:r>
        <w:rPr>
          <w:rFonts w:ascii="仿宋_GB2312" w:hint="eastAsia"/>
          <w:b/>
          <w:bCs/>
          <w:sz w:val="32"/>
          <w:szCs w:val="32"/>
        </w:rPr>
        <w:t>八、</w:t>
      </w:r>
      <w:bookmarkEnd w:id="43"/>
      <w:bookmarkEnd w:id="44"/>
      <w:r>
        <w:rPr>
          <w:rFonts w:ascii="仿宋_GB2312" w:hint="eastAsia"/>
          <w:b/>
          <w:bCs/>
          <w:sz w:val="32"/>
          <w:szCs w:val="32"/>
        </w:rPr>
        <w:t>其他需要说明的问题</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outlineLvl w:val="0"/>
        <w:rPr>
          <w:rFonts w:ascii="仿宋_GB2312" w:hint="eastAsia"/>
          <w:b w:val="0"/>
          <w:bCs w:val="0"/>
          <w:sz w:val="28"/>
          <w:szCs w:val="28"/>
          <w:lang w:val="en-US" w:eastAsia="zh-CN"/>
        </w:rPr>
      </w:pPr>
      <w:r>
        <w:rPr>
          <w:rFonts w:ascii="仿宋_GB2312" w:hint="eastAsia"/>
          <w:b w:val="0"/>
          <w:bCs w:val="0"/>
          <w:sz w:val="28"/>
          <w:szCs w:val="28"/>
          <w:lang w:val="en-US" w:eastAsia="zh-CN"/>
        </w:rPr>
        <w:t>无</w:t>
      </w:r>
    </w:p>
    <w:sectPr>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moder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华文宋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rPr>
      <w:t>4</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078C3AA"/>
    <w:multiLevelType w:val="singleLevel"/>
    <w:tmpl w:val="F078C3AA"/>
    <w:lvl w:ilvl="0">
      <w:start w:val="2"/>
      <w:numFmt w:val="decimal"/>
      <w:suff w:val="nothing"/>
      <w:lvlText w:val="%1、"/>
      <w:lvlJc w:val="left"/>
    </w:lvl>
  </w:abstractNum>
  <w:abstractNum w:abstractNumId="1">
    <w:nsid w:val="406FB16E"/>
    <w:multiLevelType w:val="singleLevel"/>
    <w:tmpl w:val="406FB16E"/>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7002C"/>
    <w:rsid w:val="00086724"/>
    <w:rsid w:val="000A2B58"/>
    <w:rsid w:val="000A43E8"/>
    <w:rsid w:val="000B520E"/>
    <w:rsid w:val="000B6FA0"/>
    <w:rsid w:val="000C720A"/>
    <w:rsid w:val="000C77D3"/>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4C5"/>
    <w:rsid w:val="00CB3DFC"/>
    <w:rsid w:val="00CB6D38"/>
    <w:rsid w:val="00CE6337"/>
    <w:rsid w:val="00CF640C"/>
    <w:rsid w:val="00CF7439"/>
    <w:rsid w:val="00D04E2D"/>
    <w:rsid w:val="00D23DCB"/>
    <w:rsid w:val="00D3320C"/>
    <w:rsid w:val="00D34884"/>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5451DB6"/>
    <w:rsid w:val="07825B78"/>
    <w:rsid w:val="149C1746"/>
    <w:rsid w:val="170D763E"/>
    <w:rsid w:val="1B965420"/>
    <w:rsid w:val="1D025872"/>
    <w:rsid w:val="1F055AA3"/>
    <w:rsid w:val="223E1265"/>
    <w:rsid w:val="258C7457"/>
    <w:rsid w:val="25FF3BCC"/>
    <w:rsid w:val="2B7C2DFD"/>
    <w:rsid w:val="2DD857BD"/>
    <w:rsid w:val="325C323B"/>
    <w:rsid w:val="35E711C8"/>
    <w:rsid w:val="37C61A08"/>
    <w:rsid w:val="3AFD408D"/>
    <w:rsid w:val="3E5E5BFD"/>
    <w:rsid w:val="40BA2031"/>
    <w:rsid w:val="435F5AE9"/>
    <w:rsid w:val="44904C61"/>
    <w:rsid w:val="46651F9E"/>
    <w:rsid w:val="46984001"/>
    <w:rsid w:val="47EB5EC7"/>
    <w:rsid w:val="480B2C78"/>
    <w:rsid w:val="4812191F"/>
    <w:rsid w:val="4B22709C"/>
    <w:rsid w:val="4D1E7039"/>
    <w:rsid w:val="4D3C6F88"/>
    <w:rsid w:val="4D7B50C5"/>
    <w:rsid w:val="51725C38"/>
    <w:rsid w:val="560B31DC"/>
    <w:rsid w:val="563C0D0B"/>
    <w:rsid w:val="5A9E3D13"/>
    <w:rsid w:val="5CF07877"/>
    <w:rsid w:val="644F417A"/>
    <w:rsid w:val="64E7071A"/>
    <w:rsid w:val="6D7D004C"/>
    <w:rsid w:val="6D9A662D"/>
    <w:rsid w:val="73057AEE"/>
    <w:rsid w:val="7355486E"/>
    <w:rsid w:val="766A22B1"/>
    <w:rsid w:val="77532CB2"/>
    <w:rsid w:val="7C0B7E8B"/>
    <w:rsid w:val="7D787E9B"/>
    <w:rsid w:val="7E2D71FC"/>
  </w:rsids>
  <w:docVars>
    <w:docVar w:name="commondata" w:val="eyJoZGlkIjoiNzdiYTAxM2E1Mjk2ZmI5MjI5ZmI5YmZlMTk2ODMzMjU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CommentText">
    <w:name w:val="annotation text"/>
    <w:basedOn w:val="Normal"/>
    <w:link w:val="a6"/>
    <w:uiPriority w:val="99"/>
    <w:unhideWhenUsed/>
    <w:qFormat/>
    <w:pPr>
      <w:jc w:val="left"/>
    </w:pPr>
    <w:rPr>
      <w:rFonts w:cs="Times New Roman"/>
      <w:kern w:val="0"/>
      <w:szCs w:val="20"/>
    </w:rPr>
  </w:style>
  <w:style w:type="paragraph" w:styleId="BodyText">
    <w:name w:val="Body Text"/>
    <w:basedOn w:val="Normal"/>
    <w:link w:val="a4"/>
    <w:uiPriority w:val="99"/>
    <w:unhideWhenUsed/>
    <w:qFormat/>
    <w:pPr>
      <w:spacing w:after="120"/>
    </w:pPr>
    <w:rPr>
      <w:rFonts w:cs="Times New Roman"/>
    </w:rPr>
  </w:style>
  <w:style w:type="paragraph" w:styleId="Date">
    <w:name w:val="Date"/>
    <w:basedOn w:val="Normal"/>
    <w:next w:val="Normal"/>
    <w:link w:val="a7"/>
    <w:uiPriority w:val="99"/>
    <w:unhideWhenUsed/>
    <w:qFormat/>
    <w:pPr>
      <w:ind w:left="100" w:leftChars="2500"/>
    </w:pPr>
    <w:rPr>
      <w:rFonts w:cs="Times New Roman"/>
      <w:kern w:val="0"/>
      <w:szCs w:val="20"/>
    </w:rPr>
  </w:style>
  <w:style w:type="paragraph" w:styleId="BalloonText">
    <w:name w:val="Balloon Text"/>
    <w:basedOn w:val="Normal"/>
    <w:link w:val="a0"/>
    <w:uiPriority w:val="99"/>
    <w:unhideWhenUsed/>
    <w:qFormat/>
    <w:rPr>
      <w:rFonts w:cs="Times New Roman"/>
      <w:sz w:val="18"/>
      <w:szCs w:val="18"/>
    </w:rPr>
  </w:style>
  <w:style w:type="paragraph" w:styleId="Footer">
    <w:name w:val="footer"/>
    <w:basedOn w:val="Normal"/>
    <w:link w:val="a2"/>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a1"/>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a5"/>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paragraph" w:styleId="CommentSubject">
    <w:name w:val="annotation subject"/>
    <w:basedOn w:val="CommentText"/>
    <w:next w:val="CommentText"/>
    <w:link w:val="a"/>
    <w:uiPriority w:val="99"/>
    <w:unhideWhenUsed/>
    <w:qFormat/>
    <w:rPr>
      <w:b/>
      <w:bCs/>
    </w:rPr>
  </w:style>
  <w:style w:type="paragraph" w:styleId="BodyTextFirstIndent">
    <w:name w:val="Body Text First Indent"/>
    <w:basedOn w:val="BodyText"/>
    <w:link w:val="a3"/>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a">
    <w:name w:val="批注主题 字符"/>
    <w:link w:val="CommentSubject"/>
    <w:uiPriority w:val="99"/>
    <w:semiHidden/>
    <w:qFormat/>
    <w:rPr>
      <w:rFonts w:ascii="Calibri" w:eastAsia="仿宋_GB2312" w:hAnsi="Calibri" w:cs="黑体"/>
      <w:b/>
      <w:bCs/>
      <w:sz w:val="28"/>
    </w:rPr>
  </w:style>
  <w:style w:type="character" w:customStyle="1" w:styleId="a0">
    <w:name w:val="批注框文本 字符"/>
    <w:link w:val="BalloonText"/>
    <w:uiPriority w:val="99"/>
    <w:semiHidden/>
    <w:qFormat/>
    <w:rPr>
      <w:rFonts w:ascii="Calibri" w:eastAsia="仿宋_GB2312" w:hAnsi="Calibri" w:cs="黑体"/>
      <w:kern w:val="2"/>
      <w:sz w:val="18"/>
      <w:szCs w:val="18"/>
    </w:rPr>
  </w:style>
  <w:style w:type="character" w:customStyle="1" w:styleId="a1">
    <w:name w:val="页眉 字符"/>
    <w:link w:val="Header"/>
    <w:uiPriority w:val="99"/>
    <w:qFormat/>
    <w:rPr>
      <w:sz w:val="18"/>
      <w:szCs w:val="18"/>
    </w:rPr>
  </w:style>
  <w:style w:type="character" w:customStyle="1" w:styleId="a2">
    <w:name w:val="页脚 字符"/>
    <w:link w:val="Footer"/>
    <w:uiPriority w:val="99"/>
    <w:qFormat/>
    <w:rPr>
      <w:sz w:val="18"/>
      <w:szCs w:val="18"/>
    </w:rPr>
  </w:style>
  <w:style w:type="character" w:customStyle="1" w:styleId="a3">
    <w:name w:val="正文首行缩进 字符"/>
    <w:link w:val="BodyTextFirstIndent"/>
    <w:qFormat/>
    <w:rPr>
      <w:rFonts w:ascii="宋体" w:eastAsia="仿宋_GB2312" w:hAnsi="宋体" w:cs="宋体"/>
      <w:kern w:val="2"/>
      <w:sz w:val="21"/>
      <w:szCs w:val="22"/>
      <w:lang w:val="zh-CN" w:bidi="zh-CN"/>
    </w:rPr>
  </w:style>
  <w:style w:type="character" w:customStyle="1" w:styleId="a4">
    <w:name w:val="正文文本 字符"/>
    <w:link w:val="BodyText"/>
    <w:uiPriority w:val="99"/>
    <w:semiHidden/>
    <w:qFormat/>
    <w:rPr>
      <w:rFonts w:ascii="Calibri" w:eastAsia="仿宋_GB2312" w:hAnsi="Calibri" w:cs="黑体"/>
      <w:kern w:val="2"/>
      <w:sz w:val="28"/>
      <w:szCs w:val="22"/>
    </w:rPr>
  </w:style>
  <w:style w:type="character" w:customStyle="1" w:styleId="1">
    <w:name w:val="标题 1 字符"/>
    <w:link w:val="Heading1"/>
    <w:uiPriority w:val="9"/>
    <w:qFormat/>
    <w:rPr>
      <w:rFonts w:ascii="Calibri" w:eastAsia="仿宋_GB2312" w:hAnsi="Calibri" w:cs="黑体"/>
      <w:b/>
      <w:bCs/>
      <w:kern w:val="44"/>
      <w:sz w:val="44"/>
      <w:szCs w:val="44"/>
    </w:rPr>
  </w:style>
  <w:style w:type="character" w:customStyle="1" w:styleId="a5">
    <w:name w:val="脚注文本 字符"/>
    <w:link w:val="FootnoteText"/>
    <w:uiPriority w:val="99"/>
    <w:semiHidden/>
    <w:qFormat/>
    <w:rPr>
      <w:rFonts w:ascii="Calibri" w:eastAsia="仿宋_GB2312" w:hAnsi="Calibri" w:cs="黑体"/>
      <w:sz w:val="18"/>
      <w:szCs w:val="18"/>
    </w:rPr>
  </w:style>
  <w:style w:type="character" w:customStyle="1" w:styleId="a6">
    <w:name w:val="批注文字 字符"/>
    <w:link w:val="CommentText"/>
    <w:uiPriority w:val="99"/>
    <w:semiHidden/>
    <w:qFormat/>
    <w:rPr>
      <w:rFonts w:ascii="Calibri" w:eastAsia="仿宋_GB2312" w:hAnsi="Calibri" w:cs="黑体"/>
      <w:sz w:val="28"/>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a7">
    <w:name w:val="日期 字符"/>
    <w:link w:val="Date"/>
    <w:uiPriority w:val="99"/>
    <w:semiHidden/>
    <w:qFormat/>
    <w:rPr>
      <w:rFonts w:ascii="Calibri" w:eastAsia="仿宋_GB2312" w:hAnsi="Calibri" w:cs="黑体"/>
      <w:sz w:val="28"/>
    </w:rPr>
  </w:style>
  <w:style w:type="character" w:customStyle="1" w:styleId="2">
    <w:name w:val="标题 2 字符"/>
    <w:link w:val="Heading2"/>
    <w:uiPriority w:val="9"/>
    <w:qFormat/>
    <w:rPr>
      <w:rFonts w:ascii="等线 Light" w:eastAsia="等线 Light" w:hAnsi="等线 Light" w:cs="Times New Roman"/>
      <w:b/>
      <w:bCs/>
      <w:sz w:val="32"/>
      <w:szCs w:val="32"/>
    </w:rPr>
  </w:style>
  <w:style w:type="paragraph" w:customStyle="1" w:styleId="WPSOffice2">
    <w:name w:val="WPSOffice手动目录 2"/>
    <w:qFormat/>
    <w:pPr>
      <w:ind w:leftChars="200"/>
    </w:pPr>
    <w:rPr>
      <w:rFonts w:ascii="等线" w:eastAsia="等线" w:hAnsi="等线" w:cs="Times New Roman"/>
      <w:lang w:val="en-US" w:eastAsia="zh-CN" w:bidi="ar-SA"/>
    </w:rPr>
  </w:style>
  <w:style w:type="paragraph" w:customStyle="1" w:styleId="TOCHeading">
    <w:name w:val="TOC Heading"/>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cs="Times New Roman"/>
      <w:b w:val="0"/>
      <w:bCs w:val="0"/>
      <w:color w:val="2F5496"/>
      <w:kern w:val="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styleId="ListParagraph">
    <w:name w:val="List Paragraph"/>
    <w:basedOn w:val="Normal"/>
    <w:uiPriority w:val="34"/>
    <w:qFormat/>
    <w:pPr>
      <w:ind w:firstLine="420"/>
    </w:p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13</Pages>
  <Words>5751</Words>
  <Characters>5967</Characters>
  <Application>Microsoft Office Word</Application>
  <DocSecurity>0</DocSecurity>
  <Lines>36</Lines>
  <Paragraphs>10</Paragraphs>
  <ScaleCrop>false</ScaleCrop>
  <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admin</cp:lastModifiedBy>
  <cp:revision>6</cp:revision>
  <dcterms:created xsi:type="dcterms:W3CDTF">2023-02-08T10:48:00Z</dcterms:created>
  <dcterms:modified xsi:type="dcterms:W3CDTF">2023-11-22T04:10:34Z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E9E3AB6FF77F422EB4C194949B5816A2_13</vt:lpwstr>
  </property>
  <property fmtid="{D5CDD505-2E9C-101B-9397-08002B2CF9AE}" pid="3" name="KSOProductBuildVer">
    <vt:lpwstr>2052-11.8.2.12118</vt:lpwstr>
  </property>
</Properties>
</file>