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518"/>
        </w:tabs>
        <w:kinsoku w:val="0"/>
        <w:wordWrap/>
        <w:overflowPunct/>
        <w:topLinePunct w:val="0"/>
        <w:autoSpaceDE w:val="0"/>
        <w:autoSpaceDN w:val="0"/>
        <w:bidi w:val="0"/>
        <w:adjustRightInd w:val="0"/>
        <w:snapToGrid w:val="0"/>
        <w:spacing w:line="54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napToGrid w:val="0"/>
          <w:color w:val="000000"/>
          <w:spacing w:val="-2"/>
          <w:kern w:val="0"/>
          <w:sz w:val="44"/>
          <w:szCs w:val="44"/>
        </w:rPr>
      </w:pPr>
      <w:r>
        <w:rPr>
          <w:rFonts w:hint="eastAsia" w:ascii="方正小标宋简体" w:hAnsi="方正小标宋简体" w:eastAsia="方正小标宋简体" w:cs="方正小标宋简体"/>
          <w:snapToGrid w:val="0"/>
          <w:color w:val="000000"/>
          <w:spacing w:val="-2"/>
          <w:kern w:val="0"/>
          <w:sz w:val="44"/>
          <w:szCs w:val="44"/>
          <w:lang w:eastAsia="zh-CN"/>
        </w:rPr>
        <w:t>乌苏市</w:t>
      </w:r>
      <w:r>
        <w:rPr>
          <w:rFonts w:hint="eastAsia" w:ascii="方正小标宋简体" w:hAnsi="方正小标宋简体" w:eastAsia="方正小标宋简体" w:cs="方正小标宋简体"/>
          <w:snapToGrid w:val="0"/>
          <w:color w:val="000000"/>
          <w:spacing w:val="-2"/>
          <w:kern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napToGrid w:val="0"/>
          <w:color w:val="000000"/>
          <w:spacing w:val="-2"/>
          <w:kern w:val="0"/>
          <w:sz w:val="44"/>
          <w:szCs w:val="44"/>
        </w:rPr>
      </w:pPr>
      <w:r>
        <w:rPr>
          <w:rFonts w:hint="eastAsia" w:ascii="方正小标宋简体" w:hAnsi="方正小标宋简体" w:eastAsia="方正小标宋简体" w:cs="方正小标宋简体"/>
          <w:snapToGrid w:val="0"/>
          <w:color w:val="000000"/>
          <w:spacing w:val="-2"/>
          <w:kern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4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7"/>
          <w:kern w:val="0"/>
          <w:sz w:val="32"/>
          <w:szCs w:val="32"/>
        </w:rPr>
      </w:pPr>
      <w:r>
        <w:rPr>
          <w:rFonts w:hint="eastAsia" w:ascii="仿宋_GB2312" w:hAnsi="仿宋_GB2312" w:eastAsia="仿宋_GB2312" w:cs="仿宋_GB2312"/>
          <w:snapToGrid w:val="0"/>
          <w:color w:val="000000"/>
          <w:spacing w:val="-7"/>
          <w:kern w:val="0"/>
          <w:sz w:val="32"/>
          <w:szCs w:val="32"/>
          <w:lang w:eastAsia="zh-CN"/>
        </w:rPr>
        <w:t>乌</w:t>
      </w:r>
      <w:r>
        <w:rPr>
          <w:rFonts w:hint="eastAsia" w:ascii="仿宋_GB2312" w:hAnsi="仿宋_GB2312" w:eastAsia="仿宋_GB2312" w:cs="仿宋_GB2312"/>
          <w:snapToGrid w:val="0"/>
          <w:color w:val="000000"/>
          <w:spacing w:val="-7"/>
          <w:kern w:val="0"/>
          <w:sz w:val="32"/>
          <w:szCs w:val="32"/>
        </w:rPr>
        <w:t>市监处罚〔</w:t>
      </w:r>
      <w:r>
        <w:rPr>
          <w:rFonts w:hint="eastAsia" w:ascii="仿宋_GB2312" w:hAnsi="仿宋_GB2312" w:eastAsia="仿宋_GB2312" w:cs="仿宋_GB2312"/>
          <w:snapToGrid w:val="0"/>
          <w:color w:val="000000"/>
          <w:spacing w:val="18"/>
          <w:kern w:val="0"/>
          <w:sz w:val="32"/>
          <w:szCs w:val="32"/>
          <w:lang w:val="en-US" w:eastAsia="zh-CN"/>
        </w:rPr>
        <w:t>2024</w:t>
      </w:r>
      <w:r>
        <w:rPr>
          <w:rFonts w:hint="eastAsia" w:ascii="仿宋_GB2312" w:hAnsi="仿宋_GB2312" w:eastAsia="仿宋_GB2312" w:cs="仿宋_GB2312"/>
          <w:snapToGrid w:val="0"/>
          <w:color w:val="000000"/>
          <w:spacing w:val="-7"/>
          <w:kern w:val="0"/>
          <w:sz w:val="32"/>
          <w:szCs w:val="32"/>
        </w:rPr>
        <w:t>〕</w:t>
      </w:r>
      <w:r>
        <w:rPr>
          <w:rFonts w:hint="eastAsia" w:ascii="仿宋_GB2312" w:hAnsi="仿宋_GB2312" w:eastAsia="仿宋_GB2312" w:cs="仿宋_GB2312"/>
          <w:snapToGrid w:val="0"/>
          <w:color w:val="000000"/>
          <w:spacing w:val="68"/>
          <w:kern w:val="0"/>
          <w:sz w:val="32"/>
          <w:szCs w:val="32"/>
          <w:lang w:val="en-US" w:eastAsia="zh-CN"/>
        </w:rPr>
        <w:t>255</w:t>
      </w:r>
      <w:r>
        <w:rPr>
          <w:rFonts w:hint="eastAsia" w:ascii="仿宋_GB2312" w:hAnsi="仿宋_GB2312" w:eastAsia="仿宋_GB2312" w:cs="仿宋_GB2312"/>
          <w:snapToGrid w:val="0"/>
          <w:color w:val="000000"/>
          <w:spacing w:val="-7"/>
          <w:kern w:val="0"/>
          <w:sz w:val="32"/>
          <w:szCs w:val="32"/>
        </w:rPr>
        <w:t>号</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both"/>
        <w:textAlignment w:val="baseline"/>
        <w:outlineLvl w:val="9"/>
        <w:rPr>
          <w:rFonts w:hint="eastAsia" w:ascii="仿宋_GB2312" w:hAnsi="仿宋_GB2312" w:eastAsia="仿宋_GB2312" w:cs="仿宋_GB2312"/>
          <w:snapToGrid w:val="0"/>
          <w:color w:val="000000"/>
          <w:spacing w:val="1"/>
          <w:ker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both"/>
        <w:textAlignment w:val="baseline"/>
        <w:outlineLvl w:val="9"/>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当事人：</w:t>
      </w:r>
      <w:r>
        <w:rPr>
          <w:rFonts w:hint="eastAsia" w:ascii="仿宋_GB2312" w:hAnsi="仿宋_GB2312" w:eastAsia="仿宋_GB2312" w:cs="仿宋_GB2312"/>
          <w:snapToGrid w:val="0"/>
          <w:color w:val="000000"/>
          <w:spacing w:val="-6"/>
          <w:kern w:val="0"/>
          <w:sz w:val="32"/>
          <w:szCs w:val="32"/>
          <w:lang w:val="en-US" w:eastAsia="zh-CN"/>
        </w:rPr>
        <w:t>李**</w:t>
      </w:r>
      <w:r>
        <w:rPr>
          <w:rFonts w:hint="eastAsia" w:ascii="仿宋_GB2312" w:hAnsi="仿宋_GB2312" w:eastAsia="仿宋_GB2312" w:cs="仿宋_GB2312"/>
          <w:snapToGrid w:val="0"/>
          <w:color w:val="000000"/>
          <w:spacing w:val="1"/>
          <w:kern w:val="0"/>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33"/>
        <w:jc w:val="both"/>
        <w:textAlignment w:val="baseline"/>
        <w:outlineLvl w:val="9"/>
        <w:rPr>
          <w:rFonts w:hint="eastAsia" w:ascii="仿宋_GB2312" w:hAnsi="仿宋_GB2312" w:eastAsia="仿宋_GB2312" w:cs="仿宋_GB2312"/>
          <w:snapToGrid w:val="0"/>
          <w:color w:val="000000"/>
          <w:spacing w:val="5"/>
          <w:kern w:val="0"/>
          <w:sz w:val="32"/>
          <w:szCs w:val="32"/>
        </w:rPr>
      </w:pPr>
      <w:r>
        <w:rPr>
          <w:rFonts w:hint="eastAsia" w:ascii="仿宋_GB2312" w:hAnsi="仿宋_GB2312" w:eastAsia="仿宋_GB2312" w:cs="仿宋_GB2312"/>
          <w:snapToGrid w:val="0"/>
          <w:color w:val="000000"/>
          <w:spacing w:val="1"/>
          <w:kern w:val="0"/>
          <w:sz w:val="32"/>
          <w:szCs w:val="32"/>
        </w:rPr>
        <w:t>住所</w:t>
      </w:r>
      <w:r>
        <w:rPr>
          <w:rFonts w:hint="eastAsia" w:ascii="仿宋_GB2312" w:hAnsi="仿宋_GB2312" w:eastAsia="仿宋_GB2312" w:cs="仿宋_GB2312"/>
          <w:snapToGrid w:val="0"/>
          <w:color w:val="000000"/>
          <w:spacing w:val="1"/>
          <w:kern w:val="0"/>
          <w:sz w:val="32"/>
          <w:szCs w:val="32"/>
          <w:lang w:eastAsia="zh-CN"/>
        </w:rPr>
        <w:t>（</w:t>
      </w:r>
      <w:r>
        <w:rPr>
          <w:rFonts w:hint="eastAsia" w:ascii="仿宋_GB2312" w:hAnsi="仿宋_GB2312" w:eastAsia="仿宋_GB2312" w:cs="仿宋_GB2312"/>
          <w:snapToGrid w:val="0"/>
          <w:color w:val="000000"/>
          <w:spacing w:val="1"/>
          <w:kern w:val="0"/>
          <w:sz w:val="32"/>
          <w:szCs w:val="32"/>
          <w:lang w:val="en-US" w:eastAsia="zh-CN"/>
        </w:rPr>
        <w:t>住址）：</w:t>
      </w:r>
      <w:r>
        <w:rPr>
          <w:rFonts w:hint="eastAsia" w:ascii="仿宋_GB2312" w:hAnsi="仿宋_GB2312" w:eastAsia="仿宋_GB2312" w:cs="仿宋_GB2312"/>
          <w:snapToGrid w:val="0"/>
          <w:color w:val="000000"/>
          <w:spacing w:val="-6"/>
          <w:kern w:val="0"/>
          <w:sz w:val="32"/>
          <w:szCs w:val="32"/>
          <w:u w:val="none" w:color="auto"/>
          <w:lang w:val="en-US" w:eastAsia="zh-CN"/>
        </w:rPr>
        <w:t>乌苏市***</w:t>
      </w:r>
      <w:r>
        <w:rPr>
          <w:rFonts w:hint="eastAsia" w:ascii="仿宋_GB2312" w:hAnsi="仿宋_GB2312" w:eastAsia="仿宋_GB2312" w:cs="仿宋_GB2312"/>
          <w:snapToGrid w:val="0"/>
          <w:color w:val="000000"/>
          <w:spacing w:val="1"/>
          <w:kern w:val="0"/>
          <w:sz w:val="32"/>
          <w:szCs w:val="32"/>
        </w:rPr>
        <w:t xml:space="preserve">                            </w:t>
      </w:r>
      <w:r>
        <w:rPr>
          <w:rFonts w:hint="eastAsia" w:ascii="仿宋_GB2312" w:hAnsi="仿宋_GB2312" w:eastAsia="仿宋_GB2312" w:cs="仿宋_GB2312"/>
          <w:snapToGrid w:val="0"/>
          <w:color w:val="000000"/>
          <w:spacing w:val="5"/>
          <w:kern w:val="0"/>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33"/>
        <w:jc w:val="both"/>
        <w:textAlignment w:val="baseline"/>
        <w:outlineLvl w:val="9"/>
        <w:rPr>
          <w:rFonts w:hint="eastAsia" w:ascii="仿宋" w:hAnsi="仿宋" w:eastAsia="仿宋" w:cs="仿宋"/>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身份证件号码</w:t>
      </w:r>
      <w:r>
        <w:rPr>
          <w:rFonts w:hint="eastAsia" w:ascii="仿宋_GB2312" w:hAnsi="仿宋_GB2312" w:eastAsia="仿宋_GB2312" w:cs="仿宋_GB2312"/>
          <w:snapToGrid w:val="0"/>
          <w:color w:val="000000"/>
          <w:kern w:val="0"/>
          <w:sz w:val="32"/>
          <w:szCs w:val="32"/>
          <w:lang w:eastAsia="zh-CN"/>
        </w:rPr>
        <w:t>：</w:t>
      </w:r>
      <w:r>
        <w:rPr>
          <w:rFonts w:ascii="仿宋" w:hAnsi="仿宋" w:eastAsia="仿宋" w:cs="仿宋"/>
          <w:snapToGrid w:val="0"/>
          <w:color w:val="000000"/>
          <w:kern w:val="0"/>
          <w:sz w:val="32"/>
          <w:szCs w:val="32"/>
        </w:rPr>
        <w:t xml:space="preserve">              </w:t>
      </w:r>
      <w:r>
        <w:rPr>
          <w:rFonts w:hint="eastAsia" w:ascii="仿宋" w:hAnsi="仿宋" w:eastAsia="仿宋" w:cs="仿宋"/>
          <w:snapToGrid w:val="0"/>
          <w:color w:val="000000"/>
          <w:kern w:val="0"/>
          <w:sz w:val="32"/>
          <w:szCs w:val="32"/>
          <w:lang w:val="en-US" w:eastAsia="zh-CN"/>
        </w:rPr>
        <w:t xml:space="preserve">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04" w:firstLineChars="200"/>
        <w:jc w:val="both"/>
        <w:textAlignment w:val="baseline"/>
        <w:outlineLvl w:val="9"/>
        <w:rPr>
          <w:rFonts w:hint="default" w:ascii="仿宋_GB2312" w:hAnsi="仿宋_GB2312" w:eastAsia="仿宋_GB2312" w:cs="仿宋_GB2312"/>
          <w:snapToGrid w:val="0"/>
          <w:color w:val="000000"/>
          <w:spacing w:val="-9"/>
          <w:kern w:val="0"/>
          <w:sz w:val="32"/>
          <w:szCs w:val="32"/>
          <w:lang w:val="en-US" w:eastAsia="zh-CN"/>
        </w:rPr>
      </w:pPr>
      <w:r>
        <w:rPr>
          <w:rFonts w:hint="eastAsia" w:ascii="仿宋_GB2312" w:hAnsi="仿宋_GB2312" w:eastAsia="仿宋_GB2312" w:cs="仿宋_GB2312"/>
          <w:snapToGrid w:val="0"/>
          <w:color w:val="000000"/>
          <w:spacing w:val="-9"/>
          <w:kern w:val="0"/>
          <w:sz w:val="32"/>
          <w:szCs w:val="32"/>
          <w:lang w:val="en-US" w:eastAsia="zh-CN"/>
        </w:rPr>
        <w:t>2024年8月</w:t>
      </w:r>
      <w:r>
        <w:rPr>
          <w:rFonts w:hint="eastAsia" w:ascii="仿宋_GB2312" w:hAnsi="仿宋_GB2312" w:eastAsia="仿宋_GB2312" w:cs="仿宋_GB2312"/>
          <w:snapToGrid w:val="0"/>
          <w:color w:val="auto"/>
          <w:spacing w:val="-9"/>
          <w:kern w:val="0"/>
          <w:sz w:val="32"/>
          <w:szCs w:val="32"/>
          <w:lang w:val="en-US" w:eastAsia="zh-CN"/>
        </w:rPr>
        <w:t>29日，我局收到克拉玛依市克拉玛依区人民检察院《检察意见书》（克市克区检刑行意〔2024〕68号）、《不起诉决定书》（克市克区检刑不诉〔2024〕85号）及相关附件。经克拉玛依市克拉玛依区人民检察院调查认定的事实为：2020年10月至2023年2月，</w:t>
      </w:r>
      <w:r>
        <w:rPr>
          <w:rFonts w:hint="eastAsia" w:ascii="仿宋_GB2312" w:hAnsi="仿宋_GB2312" w:eastAsia="仿宋_GB2312" w:cs="仿宋_GB2312"/>
          <w:snapToGrid w:val="0"/>
          <w:color w:val="auto"/>
          <w:spacing w:val="-9"/>
          <w:kern w:val="0"/>
          <w:sz w:val="32"/>
          <w:szCs w:val="32"/>
          <w:highlight w:val="none"/>
          <w:lang w:val="en-US" w:eastAsia="zh-CN"/>
        </w:rPr>
        <w:t>被起诉人李</w:t>
      </w:r>
      <w:r>
        <w:rPr>
          <w:rFonts w:hint="eastAsia" w:ascii="仿宋_GB2312" w:hAnsi="仿宋_GB2312" w:eastAsia="仿宋_GB2312" w:cs="仿宋_GB2312"/>
          <w:snapToGrid w:val="0"/>
          <w:color w:val="auto"/>
          <w:spacing w:val="-9"/>
          <w:kern w:val="0"/>
          <w:sz w:val="32"/>
          <w:szCs w:val="32"/>
          <w:lang w:val="en-US" w:eastAsia="zh-CN"/>
        </w:rPr>
        <w:t>**通过网络从扎***处，以每盒人民币160至250元（以下币种同）的价格购入没有合法来源的F</w:t>
      </w:r>
      <w:r>
        <w:rPr>
          <w:rFonts w:hint="eastAsia" w:ascii="仿宋_GB2312" w:hAnsi="仿宋_GB2312" w:eastAsia="仿宋_GB2312" w:cs="仿宋_GB2312"/>
          <w:snapToGrid w:val="0"/>
          <w:color w:val="000000"/>
          <w:spacing w:val="-9"/>
          <w:kern w:val="0"/>
          <w:sz w:val="32"/>
          <w:szCs w:val="32"/>
          <w:lang w:val="en-US" w:eastAsia="zh-CN"/>
        </w:rPr>
        <w:t>AT减肥奶片，通过微信朋友圈以每盒250至588元的价格向白**、徐**、卢*等多人销售，销售金额113020元</w:t>
      </w:r>
      <w:r>
        <w:rPr>
          <w:rFonts w:hint="eastAsia" w:ascii="仿宋_GB2312" w:hAnsi="仿宋_GB2312" w:eastAsia="仿宋_GB2312" w:cs="仿宋_GB2312"/>
          <w:snapToGrid w:val="0"/>
          <w:color w:val="auto"/>
          <w:spacing w:val="-9"/>
          <w:kern w:val="0"/>
          <w:sz w:val="32"/>
          <w:szCs w:val="32"/>
          <w:lang w:val="en-US" w:eastAsia="zh-CN"/>
        </w:rPr>
        <w:t>。案发后退缴违法所得113020元。</w:t>
      </w:r>
      <w:r>
        <w:rPr>
          <w:rFonts w:hint="eastAsia" w:ascii="仿宋_GB2312" w:hAnsi="仿宋_GB2312" w:eastAsia="仿宋_GB2312" w:cs="仿宋_GB2312"/>
          <w:snapToGrid w:val="0"/>
          <w:color w:val="auto"/>
          <w:spacing w:val="-9"/>
          <w:kern w:val="0"/>
          <w:sz w:val="32"/>
          <w:szCs w:val="32"/>
          <w:highlight w:val="cyan"/>
          <w:lang w:val="en-US" w:eastAsia="zh-CN"/>
        </w:rPr>
        <w:t>被</w:t>
      </w:r>
      <w:r>
        <w:rPr>
          <w:rFonts w:hint="eastAsia" w:ascii="仿宋_GB2312" w:hAnsi="仿宋_GB2312" w:eastAsia="仿宋_GB2312" w:cs="仿宋_GB2312"/>
          <w:snapToGrid w:val="0"/>
          <w:color w:val="auto"/>
          <w:spacing w:val="-9"/>
          <w:kern w:val="0"/>
          <w:sz w:val="32"/>
          <w:szCs w:val="32"/>
          <w:highlight w:val="none"/>
          <w:lang w:val="en-US" w:eastAsia="zh-CN"/>
        </w:rPr>
        <w:t>起诉人李*</w:t>
      </w:r>
      <w:r>
        <w:rPr>
          <w:rFonts w:hint="eastAsia" w:ascii="仿宋_GB2312" w:hAnsi="仿宋_GB2312" w:eastAsia="仿宋_GB2312" w:cs="仿宋_GB2312"/>
          <w:snapToGrid w:val="0"/>
          <w:color w:val="auto"/>
          <w:spacing w:val="-9"/>
          <w:kern w:val="0"/>
          <w:sz w:val="32"/>
          <w:szCs w:val="32"/>
          <w:lang w:val="en-US" w:eastAsia="zh-CN"/>
        </w:rPr>
        <w:t>*犯罪情节轻微，根</w:t>
      </w:r>
      <w:r>
        <w:rPr>
          <w:rFonts w:hint="eastAsia" w:ascii="仿宋_GB2312" w:hAnsi="仿宋_GB2312" w:eastAsia="仿宋_GB2312" w:cs="仿宋_GB2312"/>
          <w:snapToGrid w:val="0"/>
          <w:color w:val="000000"/>
          <w:spacing w:val="-9"/>
          <w:kern w:val="0"/>
          <w:sz w:val="32"/>
          <w:szCs w:val="32"/>
          <w:lang w:val="en-US" w:eastAsia="zh-CN"/>
        </w:rPr>
        <w:t>据《中华人民共和国刑法》第三十七条之规定，不需要判处刑罚，克拉玛依市克拉玛依区人民检察院于2024年7月30日以克市克区检刑不诉〔2024〕85号不起诉决</w:t>
      </w:r>
      <w:bookmarkStart w:id="0" w:name="_GoBack"/>
      <w:bookmarkEnd w:id="0"/>
      <w:r>
        <w:rPr>
          <w:rFonts w:hint="eastAsia" w:ascii="仿宋_GB2312" w:hAnsi="仿宋_GB2312" w:eastAsia="仿宋_GB2312" w:cs="仿宋_GB2312"/>
          <w:snapToGrid w:val="0"/>
          <w:color w:val="000000"/>
          <w:spacing w:val="-9"/>
          <w:kern w:val="0"/>
          <w:sz w:val="32"/>
          <w:szCs w:val="32"/>
          <w:lang w:val="en-US" w:eastAsia="zh-CN"/>
        </w:rPr>
        <w:t>定书对其宣告不起诉。</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04" w:firstLineChars="200"/>
        <w:jc w:val="both"/>
        <w:textAlignment w:val="baseline"/>
        <w:outlineLvl w:val="9"/>
        <w:rPr>
          <w:rFonts w:hint="eastAsia" w:ascii="仿宋_GB2312" w:hAnsi="仿宋_GB2312" w:eastAsia="仿宋_GB2312" w:cs="仿宋_GB2312"/>
          <w:snapToGrid w:val="0"/>
          <w:color w:val="auto"/>
          <w:spacing w:val="1"/>
          <w:kern w:val="0"/>
          <w:sz w:val="32"/>
          <w:szCs w:val="32"/>
          <w:u w:val="none" w:color="auto"/>
          <w:lang w:val="en-US" w:eastAsia="zh-CN"/>
        </w:rPr>
      </w:pPr>
      <w:r>
        <w:rPr>
          <w:rFonts w:hint="eastAsia" w:ascii="仿宋_GB2312" w:hAnsi="仿宋_GB2312" w:eastAsia="仿宋_GB2312" w:cs="仿宋_GB2312"/>
          <w:snapToGrid w:val="0"/>
          <w:color w:val="000000"/>
          <w:spacing w:val="-9"/>
          <w:kern w:val="0"/>
          <w:sz w:val="32"/>
          <w:szCs w:val="32"/>
          <w:lang w:val="en-US" w:eastAsia="zh-CN"/>
        </w:rPr>
        <w:t>当事人销售</w:t>
      </w:r>
      <w:r>
        <w:rPr>
          <w:rFonts w:hint="eastAsia" w:ascii="仿宋" w:hAnsi="仿宋" w:eastAsia="仿宋" w:cs="仿宋"/>
          <w:spacing w:val="-1"/>
          <w:sz w:val="32"/>
          <w:szCs w:val="32"/>
          <w:lang w:eastAsia="zh-CN"/>
        </w:rPr>
        <w:t>添加药品的食品</w:t>
      </w:r>
      <w:r>
        <w:rPr>
          <w:rFonts w:hint="eastAsia" w:ascii="仿宋_GB2312" w:hAnsi="仿宋_GB2312" w:eastAsia="仿宋_GB2312" w:cs="仿宋_GB2312"/>
          <w:snapToGrid w:val="0"/>
          <w:color w:val="000000"/>
          <w:spacing w:val="-9"/>
          <w:kern w:val="0"/>
          <w:sz w:val="32"/>
          <w:szCs w:val="32"/>
          <w:lang w:val="en-US" w:eastAsia="zh-CN"/>
        </w:rPr>
        <w:t>的行为违反了《中华人民共和国食品安全法》第三十八条的规定。</w:t>
      </w:r>
      <w:r>
        <w:rPr>
          <w:rFonts w:hint="eastAsia" w:ascii="仿宋_GB2312" w:hAnsi="仿宋_GB2312" w:eastAsia="仿宋_GB2312" w:cs="仿宋_GB2312"/>
          <w:snapToGrid w:val="0"/>
          <w:color w:val="000000"/>
          <w:spacing w:val="1"/>
          <w:kern w:val="0"/>
          <w:sz w:val="32"/>
          <w:szCs w:val="32"/>
          <w:u w:val="none" w:color="auto"/>
          <w:lang w:val="en-US" w:eastAsia="zh-CN"/>
        </w:rPr>
        <w:t>为进一步了解情况，经报局领导批准，于2024年9月5日立案，并指派</w:t>
      </w:r>
      <w:r>
        <w:rPr>
          <w:rFonts w:hint="eastAsia" w:ascii="仿宋_GB2312" w:hAnsi="仿宋_GB2312" w:eastAsia="仿宋_GB2312" w:cs="仿宋_GB2312"/>
          <w:snapToGrid w:val="0"/>
          <w:color w:val="000000"/>
          <w:spacing w:val="4"/>
          <w:kern w:val="0"/>
          <w:sz w:val="32"/>
          <w:szCs w:val="32"/>
          <w:lang w:eastAsia="zh-CN"/>
        </w:rPr>
        <w:t>孙洁、景道燕</w:t>
      </w:r>
      <w:r>
        <w:rPr>
          <w:rFonts w:hint="eastAsia" w:ascii="仿宋_GB2312" w:hAnsi="仿宋_GB2312" w:eastAsia="仿宋_GB2312" w:cs="仿宋_GB2312"/>
          <w:snapToGrid w:val="0"/>
          <w:color w:val="000000"/>
          <w:spacing w:val="1"/>
          <w:kern w:val="0"/>
          <w:sz w:val="32"/>
          <w:szCs w:val="32"/>
          <w:u w:val="none" w:color="auto"/>
          <w:lang w:val="en-US" w:eastAsia="zh-CN"/>
        </w:rPr>
        <w:t>对此案进行调查了解。</w:t>
      </w:r>
      <w:r>
        <w:rPr>
          <w:rFonts w:hint="eastAsia" w:ascii="仿宋_GB2312" w:hAnsi="仿宋_GB2312" w:eastAsia="仿宋_GB2312" w:cs="仿宋_GB2312"/>
          <w:snapToGrid w:val="0"/>
          <w:color w:val="auto"/>
          <w:spacing w:val="-6"/>
          <w:kern w:val="0"/>
          <w:sz w:val="32"/>
          <w:szCs w:val="32"/>
          <w:u w:val="none" w:color="auto"/>
          <w:lang w:val="en-US" w:eastAsia="zh-CN"/>
        </w:rPr>
        <w:t>本案已于2024年9月16日调查终结</w:t>
      </w:r>
      <w:r>
        <w:rPr>
          <w:rFonts w:hint="eastAsia" w:ascii="仿宋_GB2312" w:hAnsi="仿宋_GB2312" w:eastAsia="仿宋_GB2312" w:cs="仿宋_GB2312"/>
          <w:snapToGrid w:val="0"/>
          <w:color w:val="auto"/>
          <w:spacing w:val="1"/>
          <w:kern w:val="0"/>
          <w:sz w:val="32"/>
          <w:szCs w:val="32"/>
          <w:u w:val="none" w:color="auto"/>
          <w:lang w:val="en-US"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经查明，当事人于2020年10月起从</w:t>
      </w:r>
      <w:r>
        <w:rPr>
          <w:rFonts w:hint="eastAsia" w:ascii="仿宋_GB2312" w:hAnsi="仿宋_GB2312" w:eastAsia="仿宋_GB2312" w:cs="仿宋_GB2312"/>
          <w:snapToGrid w:val="0"/>
          <w:color w:val="auto"/>
          <w:spacing w:val="-9"/>
          <w:kern w:val="0"/>
          <w:sz w:val="32"/>
          <w:szCs w:val="32"/>
          <w:lang w:val="en-US" w:eastAsia="zh-CN"/>
        </w:rPr>
        <w:t>扎**</w:t>
      </w:r>
      <w:r>
        <w:rPr>
          <w:rFonts w:hint="eastAsia" w:ascii="仿宋_GB2312" w:hAnsi="仿宋_GB2312" w:eastAsia="仿宋_GB2312" w:cs="仿宋_GB2312"/>
          <w:snapToGrid w:val="0"/>
          <w:color w:val="000000"/>
          <w:spacing w:val="1"/>
          <w:kern w:val="0"/>
          <w:sz w:val="32"/>
          <w:szCs w:val="32"/>
          <w:u w:val="none" w:color="auto"/>
          <w:lang w:val="en-US" w:eastAsia="zh-CN"/>
        </w:rPr>
        <w:t>处购进380盒FAT牌减肥奶片，购进价格180元每盒至250元每盒不等。购进价格共计68044元</w:t>
      </w:r>
      <w:r>
        <w:rPr>
          <w:rFonts w:hint="eastAsia" w:ascii="仿宋_GB2312" w:hAnsi="仿宋_GB2312" w:eastAsia="仿宋_GB2312" w:cs="仿宋_GB2312"/>
          <w:snapToGrid w:val="0"/>
          <w:color w:val="000000"/>
          <w:spacing w:val="-9"/>
          <w:kern w:val="0"/>
          <w:sz w:val="32"/>
          <w:szCs w:val="32"/>
          <w:lang w:val="en-US" w:eastAsia="zh-CN"/>
        </w:rPr>
        <w:t>。当事人购入上述减肥奶片后，部分自用，部分通过微信销售，销售价每盒188元至588元不等，共销售350盒</w:t>
      </w:r>
      <w:r>
        <w:rPr>
          <w:rFonts w:hint="eastAsia" w:ascii="仿宋_GB2312" w:hAnsi="仿宋_GB2312" w:eastAsia="仿宋_GB2312" w:cs="仿宋_GB2312"/>
          <w:snapToGrid w:val="0"/>
          <w:color w:val="000000"/>
          <w:spacing w:val="1"/>
          <w:kern w:val="0"/>
          <w:sz w:val="32"/>
          <w:szCs w:val="32"/>
          <w:u w:val="none" w:color="auto"/>
          <w:lang w:val="en-US" w:eastAsia="zh-CN"/>
        </w:rPr>
        <w:t>FAT牌减肥奶片，销售价格113020元，获利38000元。</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right="0" w:rightChars="0" w:firstLine="644" w:firstLineChars="200"/>
        <w:jc w:val="both"/>
        <w:textAlignment w:val="baseline"/>
        <w:outlineLvl w:val="9"/>
        <w:rPr>
          <w:rFonts w:hint="eastAsia" w:ascii="仿宋_GB2312" w:hAnsi="仿宋_GB2312" w:eastAsia="仿宋_GB2312" w:cs="仿宋_GB2312"/>
          <w:snapToGrid w:val="0"/>
          <w:color w:val="0000FF"/>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经克拉玛依市公安局委托广州金至检测技术有限公司对当事人所销售的上述减肥奶片进行检测，均检测出西布曲明成分。</w:t>
      </w:r>
      <w:r>
        <w:rPr>
          <w:rFonts w:hint="eastAsia" w:ascii="仿宋_GB2312" w:hAnsi="仿宋_GB2312" w:eastAsia="仿宋_GB2312" w:cs="仿宋_GB2312"/>
          <w:snapToGrid w:val="0"/>
          <w:color w:val="000000"/>
          <w:spacing w:val="1"/>
          <w:kern w:val="0"/>
          <w:sz w:val="32"/>
          <w:szCs w:val="32"/>
          <w:lang w:val="en-US" w:eastAsia="zh-CN"/>
        </w:rPr>
        <w:t>当事人已构成</w:t>
      </w:r>
      <w:r>
        <w:rPr>
          <w:rFonts w:hint="eastAsia" w:ascii="仿宋" w:hAnsi="仿宋" w:eastAsia="仿宋" w:cs="仿宋"/>
          <w:spacing w:val="-1"/>
          <w:sz w:val="32"/>
          <w:szCs w:val="32"/>
          <w:lang w:eastAsia="zh-CN"/>
        </w:rPr>
        <w:t>销售添加药品的食品的违法</w:t>
      </w:r>
      <w:r>
        <w:rPr>
          <w:rFonts w:hint="eastAsia" w:ascii="仿宋_GB2312" w:hAnsi="仿宋_GB2312" w:eastAsia="仿宋_GB2312" w:cs="仿宋_GB2312"/>
          <w:snapToGrid w:val="0"/>
          <w:color w:val="000000"/>
          <w:spacing w:val="4"/>
          <w:kern w:val="0"/>
          <w:sz w:val="32"/>
          <w:szCs w:val="32"/>
          <w:lang w:eastAsia="zh-CN"/>
        </w:rPr>
        <w:t>行为。</w:t>
      </w:r>
      <w:r>
        <w:rPr>
          <w:rFonts w:hint="eastAsia" w:ascii="仿宋_GB2312" w:hAnsi="仿宋_GB2312" w:eastAsia="仿宋_GB2312" w:cs="仿宋_GB2312"/>
          <w:snapToGrid w:val="0"/>
          <w:color w:val="0000FF"/>
          <w:spacing w:val="1"/>
          <w:kern w:val="0"/>
          <w:sz w:val="32"/>
          <w:szCs w:val="32"/>
          <w:u w:val="none" w:color="auto"/>
          <w:lang w:val="en-US" w:eastAsia="zh-CN"/>
        </w:rPr>
        <w:t xml:space="preserve">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 xml:space="preserve">上述事实，主要有以下证据证明：                            </w:t>
      </w:r>
    </w:p>
    <w:p>
      <w:pPr>
        <w:keepNext w:val="0"/>
        <w:keepLines w:val="0"/>
        <w:pageBreakBefore w:val="0"/>
        <w:widowControl/>
        <w:numPr>
          <w:ilvl w:val="0"/>
          <w:numId w:val="0"/>
        </w:numPr>
        <w:tabs>
          <w:tab w:val="left" w:pos="4380"/>
        </w:tabs>
        <w:kinsoku w:val="0"/>
        <w:wordWrap/>
        <w:overflowPunct/>
        <w:topLinePunct w:val="0"/>
        <w:autoSpaceDE w:val="0"/>
        <w:autoSpaceDN w:val="0"/>
        <w:bidi w:val="0"/>
        <w:adjustRightInd w:val="0"/>
        <w:snapToGrid w:val="0"/>
        <w:spacing w:line="540" w:lineRule="exact"/>
        <w:ind w:left="0" w:right="0" w:rightChars="0" w:firstLine="644" w:firstLineChars="200"/>
        <w:jc w:val="both"/>
        <w:textAlignment w:val="baseline"/>
        <w:outlineLvl w:val="9"/>
        <w:rPr>
          <w:rFonts w:hint="eastAsia" w:ascii="仿宋" w:hAnsi="仿宋" w:eastAsia="仿宋" w:cs="Mongolian Baiti"/>
          <w:b w:val="0"/>
          <w:bCs w:val="0"/>
          <w:kern w:val="1"/>
          <w:sz w:val="32"/>
          <w:szCs w:val="32"/>
          <w:lang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1.</w:t>
      </w:r>
      <w:r>
        <w:rPr>
          <w:rFonts w:hint="eastAsia" w:ascii="仿宋_GB2312" w:hAnsi="仿宋_GB2312" w:eastAsia="仿宋_GB2312" w:cs="仿宋_GB2312"/>
          <w:snapToGrid w:val="0"/>
          <w:color w:val="000000"/>
          <w:spacing w:val="-9"/>
          <w:kern w:val="0"/>
          <w:sz w:val="32"/>
          <w:szCs w:val="32"/>
          <w:lang w:eastAsia="zh-CN"/>
        </w:rPr>
        <w:t>当事人</w:t>
      </w:r>
      <w:r>
        <w:rPr>
          <w:rFonts w:hint="eastAsia" w:ascii="仿宋_GB2312" w:hAnsi="仿宋_GB2312" w:eastAsia="仿宋_GB2312" w:cs="仿宋_GB2312"/>
          <w:snapToGrid w:val="0"/>
          <w:color w:val="000000"/>
          <w:spacing w:val="1"/>
          <w:kern w:val="0"/>
          <w:sz w:val="32"/>
          <w:szCs w:val="32"/>
          <w:u w:val="none" w:color="auto"/>
          <w:lang w:val="en-US" w:eastAsia="zh-CN"/>
        </w:rPr>
        <w:t>身份证复印件1份，由当事人提供，证明当事人的身份信息；</w:t>
      </w:r>
    </w:p>
    <w:p>
      <w:pPr>
        <w:keepNext w:val="0"/>
        <w:keepLines w:val="0"/>
        <w:pageBreakBefore w:val="0"/>
        <w:widowControl/>
        <w:numPr>
          <w:ilvl w:val="0"/>
          <w:numId w:val="0"/>
        </w:numPr>
        <w:tabs>
          <w:tab w:val="left" w:pos="4380"/>
        </w:tabs>
        <w:kinsoku w:val="0"/>
        <w:wordWrap/>
        <w:overflowPunct/>
        <w:topLinePunct w:val="0"/>
        <w:autoSpaceDE w:val="0"/>
        <w:autoSpaceDN w:val="0"/>
        <w:bidi w:val="0"/>
        <w:adjustRightInd w:val="0"/>
        <w:snapToGrid w:val="0"/>
        <w:spacing w:line="540" w:lineRule="exact"/>
        <w:ind w:left="0" w:right="0" w:rightChars="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 w:hAnsi="仿宋" w:eastAsia="仿宋" w:cs="Mongolian Baiti"/>
          <w:b w:val="0"/>
          <w:bCs w:val="0"/>
          <w:kern w:val="1"/>
          <w:sz w:val="32"/>
          <w:szCs w:val="32"/>
          <w:lang w:val="en-US" w:eastAsia="zh-CN"/>
        </w:rPr>
        <w:t xml:space="preserve">    2.</w:t>
      </w:r>
      <w:r>
        <w:rPr>
          <w:rFonts w:hint="eastAsia" w:ascii="仿宋" w:hAnsi="仿宋" w:eastAsia="仿宋" w:cs="Mongolian Baiti"/>
          <w:b w:val="0"/>
          <w:bCs w:val="0"/>
          <w:kern w:val="1"/>
          <w:sz w:val="32"/>
          <w:szCs w:val="32"/>
          <w:lang w:eastAsia="zh-CN"/>
        </w:rPr>
        <w:t>询问</w:t>
      </w:r>
      <w:r>
        <w:rPr>
          <w:rFonts w:hint="default" w:ascii="仿宋" w:hAnsi="仿宋" w:eastAsia="仿宋" w:cs="Mongolian Baiti"/>
          <w:b w:val="0"/>
          <w:bCs w:val="0"/>
          <w:kern w:val="1"/>
          <w:sz w:val="32"/>
          <w:szCs w:val="32"/>
          <w:lang w:eastAsia="zh-CN"/>
        </w:rPr>
        <w:t>笔录</w:t>
      </w:r>
      <w:r>
        <w:rPr>
          <w:rFonts w:hint="eastAsia" w:ascii="仿宋" w:hAnsi="仿宋" w:eastAsia="仿宋" w:cs="Mongolian Baiti"/>
          <w:b w:val="0"/>
          <w:bCs w:val="0"/>
          <w:kern w:val="1"/>
          <w:sz w:val="32"/>
          <w:szCs w:val="32"/>
          <w:lang w:val="en-US" w:eastAsia="zh-CN"/>
        </w:rPr>
        <w:t>1份</w:t>
      </w:r>
      <w:r>
        <w:rPr>
          <w:rFonts w:hint="default" w:ascii="仿宋" w:hAnsi="仿宋" w:eastAsia="仿宋" w:cs="Mongolian Baiti"/>
          <w:b w:val="0"/>
          <w:bCs w:val="0"/>
          <w:kern w:val="1"/>
          <w:sz w:val="32"/>
          <w:szCs w:val="32"/>
          <w:lang w:eastAsia="zh-CN"/>
        </w:rPr>
        <w:t>，证明</w:t>
      </w:r>
      <w:r>
        <w:rPr>
          <w:rFonts w:hint="eastAsia" w:ascii="仿宋" w:hAnsi="仿宋" w:eastAsia="仿宋" w:cs="Mongolian Baiti"/>
          <w:b w:val="0"/>
          <w:bCs w:val="0"/>
          <w:kern w:val="1"/>
          <w:sz w:val="32"/>
          <w:szCs w:val="32"/>
          <w:lang w:eastAsia="zh-CN"/>
        </w:rPr>
        <w:t>当事人</w:t>
      </w:r>
      <w:r>
        <w:rPr>
          <w:rFonts w:hint="eastAsia" w:ascii="仿宋" w:hAnsi="仿宋" w:eastAsia="仿宋" w:cs="仿宋"/>
          <w:spacing w:val="-1"/>
          <w:sz w:val="32"/>
          <w:szCs w:val="32"/>
          <w:lang w:eastAsia="zh-CN"/>
        </w:rPr>
        <w:t>销售添加药品的涉案食品的数量、日期及金额</w:t>
      </w:r>
      <w:r>
        <w:rPr>
          <w:rFonts w:hint="eastAsia" w:ascii="仿宋" w:hAnsi="仿宋" w:eastAsia="仿宋" w:cs="Mongolian Baiti"/>
          <w:b w:val="0"/>
          <w:bCs w:val="0"/>
          <w:kern w:val="1"/>
          <w:sz w:val="32"/>
          <w:szCs w:val="32"/>
          <w:lang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3.《克拉玛依市克拉玛依区人民检察院检查意见书》及相关案件材料各1份（含附件1。不起诉决定书1份、2.刑事侦查案卷1份），证明当事人销售添加药品的涉案食品已被查明的事实；</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4.社区证明1份，证明当事人生活确有困难的事实。</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outlineLvl w:val="9"/>
        <w:rPr>
          <w:rFonts w:hint="default"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kern w:val="0"/>
          <w:sz w:val="32"/>
          <w:szCs w:val="32"/>
          <w:lang w:eastAsia="zh-CN"/>
        </w:rPr>
        <w:t>我</w:t>
      </w:r>
      <w:r>
        <w:rPr>
          <w:rFonts w:hint="eastAsia" w:ascii="仿宋_GB2312" w:hAnsi="仿宋_GB2312" w:eastAsia="仿宋_GB2312" w:cs="仿宋_GB2312"/>
          <w:snapToGrid w:val="0"/>
          <w:color w:val="000000"/>
          <w:kern w:val="0"/>
          <w:sz w:val="32"/>
          <w:szCs w:val="32"/>
        </w:rPr>
        <w:t>局</w:t>
      </w:r>
      <w:r>
        <w:rPr>
          <w:rFonts w:hint="eastAsia" w:ascii="仿宋_GB2312" w:hAnsi="仿宋_GB2312" w:eastAsia="仿宋_GB2312" w:cs="仿宋_GB2312"/>
          <w:snapToGrid w:val="0"/>
          <w:color w:val="000000"/>
          <w:kern w:val="0"/>
          <w:sz w:val="32"/>
          <w:szCs w:val="32"/>
          <w:lang w:val="en-US" w:eastAsia="zh-CN"/>
        </w:rPr>
        <w:t>于2024年11月1日</w:t>
      </w:r>
      <w:r>
        <w:rPr>
          <w:rFonts w:hint="eastAsia" w:ascii="仿宋_GB2312" w:hAnsi="仿宋_GB2312" w:eastAsia="仿宋_GB2312" w:cs="仿宋_GB2312"/>
          <w:snapToGrid w:val="0"/>
          <w:color w:val="000000"/>
          <w:kern w:val="0"/>
          <w:sz w:val="32"/>
          <w:szCs w:val="32"/>
        </w:rPr>
        <w:t>依法</w:t>
      </w:r>
      <w:r>
        <w:rPr>
          <w:rFonts w:hint="eastAsia" w:ascii="仿宋_GB2312" w:hAnsi="仿宋_GB2312" w:eastAsia="仿宋_GB2312" w:cs="仿宋_GB2312"/>
          <w:snapToGrid w:val="0"/>
          <w:color w:val="000000"/>
          <w:kern w:val="0"/>
          <w:sz w:val="32"/>
          <w:szCs w:val="32"/>
          <w:lang w:eastAsia="zh-CN"/>
        </w:rPr>
        <w:t>向当事人送</w:t>
      </w:r>
      <w:r>
        <w:rPr>
          <w:rFonts w:hint="eastAsia" w:ascii="仿宋_GB2312" w:hAnsi="仿宋_GB2312" w:eastAsia="仿宋_GB2312" w:cs="仿宋_GB2312"/>
          <w:snapToGrid w:val="0"/>
          <w:color w:val="000000"/>
          <w:kern w:val="0"/>
          <w:sz w:val="32"/>
          <w:szCs w:val="32"/>
        </w:rPr>
        <w:t>达了《行政处罚告知书》</w:t>
      </w:r>
      <w:r>
        <w:rPr>
          <w:rFonts w:hint="eastAsia" w:ascii="仿宋_GB2312" w:hAnsi="仿宋_GB2312" w:eastAsia="仿宋_GB2312" w:cs="仿宋_GB2312"/>
          <w:snapToGrid w:val="0"/>
          <w:color w:val="000000"/>
          <w:kern w:val="0"/>
          <w:sz w:val="32"/>
          <w:szCs w:val="32"/>
          <w:lang w:eastAsia="zh-CN"/>
        </w:rPr>
        <w:t>（乌市监罚告〔202</w:t>
      </w: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255</w:t>
      </w:r>
      <w:r>
        <w:rPr>
          <w:rFonts w:hint="eastAsia" w:ascii="仿宋_GB2312" w:hAnsi="仿宋_GB2312" w:eastAsia="仿宋_GB2312" w:cs="仿宋_GB2312"/>
          <w:snapToGrid w:val="0"/>
          <w:color w:val="000000"/>
          <w:kern w:val="0"/>
          <w:sz w:val="32"/>
          <w:szCs w:val="32"/>
          <w:lang w:eastAsia="zh-CN"/>
        </w:rPr>
        <w:t>号）</w:t>
      </w:r>
      <w:r>
        <w:rPr>
          <w:rFonts w:hint="eastAsia" w:ascii="仿宋_GB2312" w:hAnsi="仿宋_GB2312" w:eastAsia="仿宋_GB2312" w:cs="仿宋_GB2312"/>
          <w:snapToGrid w:val="0"/>
          <w:color w:val="000000"/>
          <w:kern w:val="0"/>
          <w:sz w:val="32"/>
          <w:szCs w:val="32"/>
        </w:rPr>
        <w:t>，告知</w:t>
      </w:r>
      <w:r>
        <w:rPr>
          <w:rFonts w:hint="eastAsia" w:ascii="仿宋_GB2312" w:hAnsi="仿宋_GB2312" w:eastAsia="仿宋_GB2312" w:cs="仿宋_GB2312"/>
          <w:snapToGrid w:val="0"/>
          <w:color w:val="000000"/>
          <w:kern w:val="0"/>
          <w:sz w:val="32"/>
          <w:szCs w:val="32"/>
          <w:lang w:eastAsia="zh-CN"/>
        </w:rPr>
        <w:t>了当事人依法</w:t>
      </w:r>
      <w:r>
        <w:rPr>
          <w:rFonts w:hint="eastAsia" w:ascii="仿宋_GB2312" w:hAnsi="仿宋_GB2312" w:eastAsia="仿宋_GB2312" w:cs="仿宋_GB2312"/>
          <w:snapToGrid w:val="0"/>
          <w:color w:val="000000"/>
          <w:kern w:val="0"/>
          <w:sz w:val="32"/>
          <w:szCs w:val="32"/>
        </w:rPr>
        <w:t>享有陈述、申辩的权利</w:t>
      </w:r>
      <w:r>
        <w:rPr>
          <w:rFonts w:hint="eastAsia" w:ascii="仿宋_GB2312" w:hAnsi="仿宋_GB2312" w:eastAsia="仿宋_GB2312" w:cs="仿宋_GB2312"/>
          <w:snapToGrid w:val="0"/>
          <w:color w:val="000000"/>
          <w:kern w:val="0"/>
          <w:sz w:val="32"/>
          <w:szCs w:val="32"/>
          <w:lang w:eastAsia="zh-CN"/>
        </w:rPr>
        <w:t>，当事人</w:t>
      </w:r>
      <w:r>
        <w:rPr>
          <w:rFonts w:hint="eastAsia" w:ascii="仿宋_GB2312" w:hAnsi="仿宋_GB2312" w:eastAsia="仿宋_GB2312" w:cs="仿宋_GB2312"/>
          <w:snapToGrid w:val="0"/>
          <w:color w:val="000000"/>
          <w:kern w:val="0"/>
          <w:sz w:val="32"/>
          <w:szCs w:val="32"/>
          <w:lang w:val="en-US" w:eastAsia="zh-CN"/>
        </w:rPr>
        <w:t>在</w:t>
      </w:r>
      <w:r>
        <w:rPr>
          <w:rFonts w:hint="eastAsia" w:ascii="仿宋_GB2312" w:hAnsi="仿宋_GB2312" w:eastAsia="仿宋_GB2312" w:cs="仿宋_GB2312"/>
          <w:snapToGrid w:val="0"/>
          <w:color w:val="000000"/>
          <w:kern w:val="0"/>
          <w:sz w:val="32"/>
          <w:szCs w:val="32"/>
          <w:lang w:eastAsia="zh-CN"/>
        </w:rPr>
        <w:t>法定</w:t>
      </w:r>
      <w:r>
        <w:rPr>
          <w:rFonts w:hint="eastAsia" w:ascii="仿宋_GB2312" w:hAnsi="仿宋_GB2312" w:eastAsia="仿宋_GB2312" w:cs="仿宋_GB2312"/>
          <w:snapToGrid w:val="0"/>
          <w:color w:val="000000"/>
          <w:kern w:val="0"/>
          <w:sz w:val="32"/>
          <w:szCs w:val="32"/>
          <w:lang w:val="en-US" w:eastAsia="zh-CN"/>
        </w:rPr>
        <w:t>期限内</w:t>
      </w:r>
      <w:r>
        <w:rPr>
          <w:rFonts w:hint="eastAsia" w:ascii="仿宋_GB2312" w:hAnsi="仿宋_GB2312" w:eastAsia="仿宋_GB2312" w:cs="仿宋_GB2312"/>
          <w:snapToGrid w:val="0"/>
          <w:color w:val="000000"/>
          <w:kern w:val="0"/>
          <w:sz w:val="32"/>
          <w:szCs w:val="32"/>
        </w:rPr>
        <w:t>未</w:t>
      </w:r>
      <w:r>
        <w:rPr>
          <w:rFonts w:hint="eastAsia" w:ascii="仿宋_GB2312" w:hAnsi="仿宋_GB2312" w:eastAsia="仿宋_GB2312" w:cs="仿宋_GB2312"/>
          <w:snapToGrid w:val="0"/>
          <w:color w:val="000000"/>
          <w:kern w:val="0"/>
          <w:sz w:val="32"/>
          <w:szCs w:val="32"/>
          <w:lang w:val="en-US" w:eastAsia="zh-CN"/>
        </w:rPr>
        <w:t>提出</w:t>
      </w:r>
      <w:r>
        <w:rPr>
          <w:rFonts w:hint="eastAsia" w:ascii="仿宋_GB2312" w:hAnsi="仿宋_GB2312" w:eastAsia="仿宋_GB2312" w:cs="仿宋_GB2312"/>
          <w:snapToGrid w:val="0"/>
          <w:color w:val="000000"/>
          <w:kern w:val="0"/>
          <w:sz w:val="32"/>
          <w:szCs w:val="32"/>
        </w:rPr>
        <w:t>陈述</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申辩</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视为放弃此权利</w:t>
      </w:r>
      <w:r>
        <w:rPr>
          <w:rFonts w:hint="eastAsia" w:ascii="仿宋_GB2312" w:hAnsi="仿宋_GB2312" w:eastAsia="仿宋_GB2312" w:cs="仿宋_GB2312"/>
          <w:snapToGrid w:val="0"/>
          <w:color w:val="000000"/>
          <w:kern w:val="0"/>
          <w:sz w:val="32"/>
          <w:szCs w:val="32"/>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 w:eastAsia="仿宋_GB2312" w:cs="Mongolian Baiti"/>
          <w:kern w:val="1"/>
          <w:sz w:val="32"/>
          <w:szCs w:val="32"/>
        </w:rPr>
        <w:t>当事人的上述行为违反了</w:t>
      </w:r>
      <w:r>
        <w:rPr>
          <w:rFonts w:hint="eastAsia" w:ascii="仿宋_GB2312" w:hAnsi="仿宋_GB2312" w:eastAsia="仿宋_GB2312" w:cs="仿宋_GB2312"/>
          <w:snapToGrid w:val="0"/>
          <w:color w:val="000000"/>
          <w:spacing w:val="4"/>
          <w:kern w:val="0"/>
          <w:sz w:val="32"/>
          <w:szCs w:val="32"/>
          <w:lang w:eastAsia="zh-CN"/>
        </w:rPr>
        <w:t>《中华人民共和国食品安全法》第三十八条</w:t>
      </w:r>
      <w:r>
        <w:rPr>
          <w:rFonts w:hint="eastAsia" w:ascii="仿宋_GB2312" w:hAnsi="仿宋" w:eastAsia="仿宋_GB2312" w:cs="Mongolian Baiti"/>
          <w:kern w:val="1"/>
          <w:sz w:val="32"/>
          <w:szCs w:val="32"/>
        </w:rPr>
        <w:t>“</w:t>
      </w:r>
      <w:r>
        <w:rPr>
          <w:rFonts w:hint="eastAsia" w:ascii="仿宋_GB2312" w:hAnsi="仿宋" w:eastAsia="仿宋_GB2312" w:cs="Mongolian Baiti"/>
          <w:kern w:val="1"/>
          <w:sz w:val="32"/>
          <w:szCs w:val="32"/>
          <w:lang w:eastAsia="zh-CN"/>
        </w:rPr>
        <w:t>生产经营的食品中不得添加药品，但是可以添加按照传统既是食品又是中药材的物质名录由国务院卫生行政部门会同国务院食品安全监督管理部门制定、公布。</w:t>
      </w:r>
      <w:r>
        <w:rPr>
          <w:rFonts w:hint="eastAsia" w:ascii="仿宋_GB2312" w:hAnsi="仿宋" w:eastAsia="仿宋_GB2312" w:cs="Mongolian Baiti"/>
          <w:kern w:val="1"/>
          <w:sz w:val="32"/>
          <w:szCs w:val="32"/>
        </w:rPr>
        <w:t>”的规定</w:t>
      </w:r>
      <w:r>
        <w:rPr>
          <w:rFonts w:hint="eastAsia" w:ascii="仿宋_GB2312" w:hAnsi="仿宋" w:eastAsia="仿宋_GB2312" w:cs="Mongolian Baiti"/>
          <w:kern w:val="1"/>
          <w:sz w:val="32"/>
          <w:szCs w:val="32"/>
          <w:lang w:eastAsia="zh-CN"/>
        </w:rPr>
        <w:t>，属违法行为。</w:t>
      </w:r>
      <w:r>
        <w:rPr>
          <w:rFonts w:hint="eastAsia" w:ascii="仿宋_GB2312" w:hAnsi="仿宋_GB2312" w:eastAsia="仿宋_GB2312" w:cs="仿宋_GB2312"/>
          <w:snapToGrid w:val="0"/>
          <w:color w:val="000000"/>
          <w:spacing w:val="1"/>
          <w:kern w:val="0"/>
          <w:sz w:val="32"/>
          <w:szCs w:val="32"/>
          <w:u w:val="none" w:color="auto"/>
          <w:lang w:val="en-US" w:eastAsia="zh-CN"/>
        </w:rPr>
        <w:t xml:space="preserve">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40" w:lineRule="exact"/>
        <w:ind w:left="0" w:leftChars="0" w:right="0" w:firstLine="644" w:firstLineChars="200"/>
        <w:jc w:val="both"/>
        <w:textAlignment w:val="baseline"/>
        <w:outlineLvl w:val="9"/>
        <w:rPr>
          <w:rFonts w:hint="eastAsia" w:ascii="仿宋_GB2312" w:hAnsi="仿宋_GB2312" w:eastAsia="仿宋_GB2312" w:cs="仿宋_GB2312"/>
          <w:snapToGrid w:val="0"/>
          <w:color w:val="auto"/>
          <w:spacing w:val="1"/>
          <w:kern w:val="0"/>
          <w:sz w:val="32"/>
          <w:szCs w:val="32"/>
          <w:u w:val="none" w:color="auto"/>
          <w:lang w:val="en-US" w:eastAsia="zh-CN"/>
        </w:rPr>
      </w:pPr>
      <w:r>
        <w:rPr>
          <w:rFonts w:hint="eastAsia" w:ascii="仿宋_GB2312" w:hAnsi="仿宋_GB2312" w:eastAsia="仿宋_GB2312" w:cs="仿宋_GB2312"/>
          <w:snapToGrid w:val="0"/>
          <w:color w:val="auto"/>
          <w:spacing w:val="1"/>
          <w:kern w:val="0"/>
          <w:sz w:val="32"/>
          <w:szCs w:val="32"/>
          <w:u w:val="none" w:color="auto"/>
          <w:lang w:val="en-US" w:eastAsia="zh-CN"/>
        </w:rPr>
        <w:t>鉴于当事人在本案办理过程中态度端正，能够积极配合办</w:t>
      </w:r>
      <w:r>
        <w:rPr>
          <w:rFonts w:hint="eastAsia" w:ascii="仿宋_GB2312" w:hAnsi="仿宋_GB2312" w:eastAsia="仿宋_GB2312" w:cs="仿宋_GB2312"/>
          <w:snapToGrid w:val="0"/>
          <w:color w:val="auto"/>
          <w:spacing w:val="-6"/>
          <w:kern w:val="0"/>
          <w:sz w:val="32"/>
          <w:szCs w:val="32"/>
          <w:u w:val="none" w:color="auto"/>
          <w:lang w:val="en-US" w:eastAsia="zh-CN"/>
        </w:rPr>
        <w:t>案人员调查，如实陈述违法事实</w:t>
      </w:r>
      <w:r>
        <w:rPr>
          <w:rFonts w:hint="eastAsia" w:ascii="仿宋_GB2312" w:hAnsi="仿宋_GB2312" w:eastAsia="仿宋_GB2312" w:cs="仿宋_GB2312"/>
          <w:snapToGrid w:val="0"/>
          <w:color w:val="auto"/>
          <w:spacing w:val="1"/>
          <w:kern w:val="0"/>
          <w:sz w:val="32"/>
          <w:szCs w:val="32"/>
          <w:u w:val="none" w:color="auto"/>
          <w:lang w:val="en-US" w:eastAsia="zh-CN"/>
        </w:rPr>
        <w:t>，且当事人相关涉案钱款均已退缴，认错态度诚恳。当事人的上述情况符合《新疆维吾尔自治区 新疆生产建设兵团市场监督管理行政处罚裁量权适用规定</w:t>
      </w:r>
      <w:r>
        <w:rPr>
          <w:rFonts w:hint="eastAsia" w:ascii="仿宋_GB2312" w:hAnsi="仿宋_GB2312" w:eastAsia="仿宋_GB2312" w:cs="仿宋_GB2312"/>
          <w:snapToGrid w:val="0"/>
          <w:color w:val="auto"/>
          <w:spacing w:val="-6"/>
          <w:kern w:val="0"/>
          <w:sz w:val="32"/>
          <w:szCs w:val="32"/>
          <w:u w:val="none" w:color="auto"/>
          <w:lang w:val="en-US" w:eastAsia="zh-CN"/>
        </w:rPr>
        <w:t>（试行）》第十七条第一项和第四项“有下列情形之一的，可以依法从轻或减轻行政处罚：（一）积极配合市场监督管理部门调查</w:t>
      </w:r>
      <w:r>
        <w:rPr>
          <w:rFonts w:hint="eastAsia" w:ascii="仿宋_GB2312" w:hAnsi="仿宋_GB2312" w:eastAsia="仿宋_GB2312" w:cs="仿宋_GB2312"/>
          <w:snapToGrid w:val="0"/>
          <w:color w:val="auto"/>
          <w:spacing w:val="1"/>
          <w:kern w:val="0"/>
          <w:sz w:val="32"/>
          <w:szCs w:val="32"/>
          <w:u w:val="none" w:color="auto"/>
          <w:lang w:val="en-US" w:eastAsia="zh-CN"/>
        </w:rPr>
        <w:t xml:space="preserve">，如实陈述违法事实并主动提供证据材料的；（四）违法行为人因残疾或者重大疾病等原因生活确有困难的；”的规定，综合考虑个案情况、当事人主客观情况等相关因素，坚持处罚与教育相结合的原则，决定给予当事人减轻行政处罚。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16"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6"/>
          <w:kern w:val="0"/>
          <w:sz w:val="32"/>
          <w:szCs w:val="32"/>
          <w:u w:val="none" w:color="auto"/>
          <w:lang w:val="en-US" w:eastAsia="zh-CN"/>
        </w:rPr>
        <w:t>依据《</w:t>
      </w:r>
      <w:r>
        <w:rPr>
          <w:rFonts w:hint="eastAsia" w:ascii="仿宋_GB2312" w:hAnsi="仿宋_GB2312" w:eastAsia="仿宋_GB2312" w:cs="仿宋_GB2312"/>
          <w:snapToGrid w:val="0"/>
          <w:color w:val="000000"/>
          <w:spacing w:val="4"/>
          <w:kern w:val="0"/>
          <w:sz w:val="32"/>
          <w:szCs w:val="32"/>
          <w:lang w:eastAsia="zh-CN"/>
        </w:rPr>
        <w:t>中华人民共和国食品安全法</w:t>
      </w:r>
      <w:r>
        <w:rPr>
          <w:rFonts w:hint="eastAsia" w:ascii="仿宋_GB2312" w:hAnsi="仿宋_GB2312" w:eastAsia="仿宋_GB2312" w:cs="仿宋_GB2312"/>
          <w:snapToGrid w:val="0"/>
          <w:color w:val="000000"/>
          <w:spacing w:val="-6"/>
          <w:kern w:val="0"/>
          <w:sz w:val="32"/>
          <w:szCs w:val="32"/>
          <w:u w:val="none" w:color="auto"/>
          <w:lang w:val="en-US" w:eastAsia="zh-CN"/>
        </w:rPr>
        <w:t>》第一百二十三条第一款第（六）项“违反本法规定，有下列情形之一，尚不构成犯罪的，由县级以上人民政府食品安全监督管理部门没收违法所得和违法生产经营的食品，并可以没收用于违法生产经营的工具、设备、原料等物品；违法生产经营的食品货值金额不满一万元的，并处十万元以上十五万元以下罚款；货值额一万元以上的，并处货值金额十五倍以上三十倍以下罚款；情节严重的，吊销许可证，并可以由公安机关对其直接负责的主管人员和其他直接责任人员处五日以上十五日以下拘留：（六）生产经营添加药品的食品。”的规定</w:t>
      </w:r>
      <w:r>
        <w:rPr>
          <w:rFonts w:hint="eastAsia" w:ascii="仿宋_GB2312" w:hAnsi="仿宋_GB2312" w:eastAsia="仿宋_GB2312" w:cs="仿宋_GB2312"/>
          <w:snapToGrid w:val="0"/>
          <w:color w:val="000000"/>
          <w:spacing w:val="1"/>
          <w:kern w:val="0"/>
          <w:sz w:val="32"/>
          <w:szCs w:val="32"/>
          <w:u w:val="none" w:color="auto"/>
          <w:lang w:val="en-US" w:eastAsia="zh-CN"/>
        </w:rPr>
        <w:t>，责令当事人改正违法行为，</w:t>
      </w:r>
      <w:r>
        <w:rPr>
          <w:rFonts w:hint="eastAsia" w:ascii="仿宋_GB2312" w:hAnsi="仿宋_GB2312" w:eastAsia="仿宋_GB2312" w:cs="仿宋_GB2312"/>
          <w:snapToGrid w:val="0"/>
          <w:color w:val="auto"/>
          <w:spacing w:val="1"/>
          <w:kern w:val="0"/>
          <w:sz w:val="32"/>
          <w:szCs w:val="32"/>
          <w:u w:val="none" w:color="auto"/>
          <w:lang w:val="en-US" w:eastAsia="zh-CN"/>
        </w:rPr>
        <w:t>决定</w:t>
      </w:r>
      <w:r>
        <w:rPr>
          <w:rFonts w:hint="eastAsia" w:ascii="仿宋_GB2312" w:hAnsi="仿宋_GB2312" w:eastAsia="仿宋_GB2312" w:cs="仿宋_GB2312"/>
          <w:snapToGrid w:val="0"/>
          <w:color w:val="000000"/>
          <w:spacing w:val="1"/>
          <w:kern w:val="0"/>
          <w:sz w:val="32"/>
          <w:szCs w:val="32"/>
          <w:u w:val="none" w:color="auto"/>
          <w:lang w:val="en-US" w:eastAsia="zh-CN"/>
        </w:rPr>
        <w:t xml:space="preserve">对当事人处罚如下：                        </w:t>
      </w:r>
    </w:p>
    <w:p>
      <w:pPr>
        <w:keepNext w:val="0"/>
        <w:keepLines w:val="0"/>
        <w:pageBreakBefore w:val="0"/>
        <w:widowControl w:val="0"/>
        <w:numPr>
          <w:ilvl w:val="0"/>
          <w:numId w:val="0"/>
        </w:numPr>
        <w:tabs>
          <w:tab w:val="left" w:pos="4380"/>
        </w:tabs>
        <w:kinsoku w:val="0"/>
        <w:wordWrap/>
        <w:overflowPunct/>
        <w:topLinePunct w:val="0"/>
        <w:autoSpaceDE w:val="0"/>
        <w:autoSpaceDN w:val="0"/>
        <w:bidi w:val="0"/>
        <w:adjustRightInd w:val="0"/>
        <w:snapToGrid w:val="0"/>
        <w:spacing w:line="540" w:lineRule="exact"/>
        <w:ind w:left="0" w:leftChars="0" w:right="0" w:rightChars="0" w:firstLine="64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1"/>
          <w:kern w:val="0"/>
          <w:sz w:val="32"/>
          <w:szCs w:val="32"/>
          <w:u w:val="none" w:color="auto"/>
          <w:lang w:val="en-US" w:eastAsia="zh-CN"/>
        </w:rPr>
        <w:t xml:space="preserve">处5000元罚款。      </w:t>
      </w:r>
      <w:r>
        <w:rPr>
          <w:rFonts w:hint="eastAsia" w:ascii="仿宋_GB2312" w:hAnsi="仿宋_GB2312" w:eastAsia="仿宋_GB2312" w:cs="仿宋_GB2312"/>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jc w:val="both"/>
        <w:textAlignment w:val="baseline"/>
        <w:outlineLvl w:val="9"/>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当事人自收到本处罚决定书之日起15日内，到中国建设银行塔城地区分行乌苏新区支行（银行地址：乌苏市长江路141号，用户名：乌苏市财政局</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账号：65001642200052500066）缴纳罚款。当事人逾期不履行行政处罚决定的，依据《中华人民共和国行政处罚法》第七十二条第一款第（一）、（四</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项的规定，本局将依法采取下列措施：（一）到期不缴纳罚款的，每日按罚款数额的</w:t>
      </w:r>
      <w:r>
        <w:rPr>
          <w:rFonts w:hint="eastAsia" w:ascii="仿宋_GB2312" w:hAnsi="仿宋_GB2312" w:eastAsia="仿宋_GB2312" w:cs="仿宋_GB2312"/>
          <w:snapToGrid w:val="0"/>
          <w:color w:val="000000"/>
          <w:kern w:val="0"/>
          <w:sz w:val="32"/>
          <w:szCs w:val="32"/>
          <w:lang w:eastAsia="zh-CN"/>
        </w:rPr>
        <w:t>3%</w:t>
      </w:r>
      <w:r>
        <w:rPr>
          <w:rFonts w:hint="eastAsia" w:ascii="仿宋_GB2312" w:hAnsi="仿宋_GB2312" w:eastAsia="仿宋_GB2312" w:cs="仿宋_GB2312"/>
          <w:snapToGrid w:val="0"/>
          <w:color w:val="000000"/>
          <w:kern w:val="0"/>
          <w:sz w:val="32"/>
          <w:szCs w:val="32"/>
        </w:rPr>
        <w:t xml:space="preserve">加处罚款；（二）申请人民法院强制执行。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如不服本处罚决定，可在收到本处罚决定书之日起六十日内向乌苏市人民政府（地址：乌苏市新区市政综合办公大楼）申请复议；也可以在六个月内直接向乌苏市人民法院（地址：乌苏市新区长江路北侧文景路西侧（乌苏市公安局向东150米）提起行政诉讼。</w:t>
      </w:r>
      <w:r>
        <w:rPr>
          <w:rFonts w:hint="eastAsia" w:ascii="仿宋_GB2312" w:hAnsi="仿宋_GB2312" w:eastAsia="仿宋_GB2312" w:cs="仿宋_GB2312"/>
          <w:snapToGrid w:val="0"/>
          <w:color w:val="000000"/>
          <w:kern w:val="0"/>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当事人对行政处罚决定不服申请行政复议或者提起行政诉讼的，行政处罚不停止执行。            </w:t>
      </w:r>
      <w:r>
        <w:rPr>
          <w:rFonts w:hint="eastAsia" w:ascii="Times New Roman" w:hAnsi="Times New Roman" w:eastAsia="仿宋_GB2312" w:cs="仿宋_GB2312"/>
          <w:b w:val="0"/>
          <w:bCs/>
          <w:color w:val="000000"/>
          <w:sz w:val="32"/>
          <w:szCs w:val="32"/>
          <w:u w:val="none" w:color="auto"/>
          <w:lang w:val="en-US" w:eastAsia="zh-CN"/>
        </w:rPr>
        <w:t xml:space="preserve">           </w:t>
      </w:r>
      <w:r>
        <w:rPr>
          <w:rFonts w:hint="eastAsia" w:ascii="仿宋" w:hAnsi="仿宋" w:eastAsia="仿宋" w:cs="仿宋"/>
          <w:snapToGrid w:val="0"/>
          <w:color w:val="000000"/>
          <w:kern w:val="0"/>
          <w:sz w:val="32"/>
          <w:szCs w:val="32"/>
        </w:rPr>
        <w:t xml:space="preserve">                                                                                </w:t>
      </w:r>
      <w:r>
        <w:rPr>
          <w:rFonts w:hint="eastAsia" w:ascii="仿宋_GB2312" w:hAnsi="仿宋_GB2312" w:eastAsia="仿宋_GB2312" w:cs="仿宋_GB2312"/>
          <w:snapToGrid w:val="0"/>
          <w:color w:val="000000"/>
          <w:spacing w:val="-4"/>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4800" w:firstLineChars="1500"/>
        <w:jc w:val="both"/>
        <w:textAlignment w:val="baseline"/>
        <w:outlineLvl w:val="9"/>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eastAsia="zh-CN"/>
        </w:rPr>
        <w:t>乌苏市</w:t>
      </w:r>
      <w:r>
        <w:rPr>
          <w:rFonts w:hint="eastAsia" w:ascii="仿宋_GB2312" w:hAnsi="仿宋_GB2312" w:eastAsia="仿宋_GB2312" w:cs="仿宋_GB2312"/>
          <w:snapToGrid w:val="0"/>
          <w:color w:val="000000"/>
          <w:kern w:val="0"/>
          <w:sz w:val="32"/>
          <w:szCs w:val="32"/>
        </w:rPr>
        <w:t>市场监督管理局</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2024年11月11日</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231F20"/>
          <w:spacing w:val="-31"/>
          <w:kern w:val="0"/>
          <w:sz w:val="32"/>
          <w:szCs w:val="32"/>
        </w:rPr>
        <w:t>（市场监督管理部门将依法向社会公开行政处罚决定信息）</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both"/>
        <w:textAlignment w:val="center"/>
        <w:rPr>
          <w:u w:val="none" w:color="auto"/>
        </w:rPr>
      </w:pPr>
      <w:r>
        <w:rPr>
          <w:rFonts w:ascii="Arial" w:hAnsi="Arial" w:eastAsia="Arial" w:cs="Arial"/>
          <w:snapToGrid w:val="0"/>
          <w:color w:val="000000"/>
          <w:kern w:val="0"/>
          <w:sz w:val="21"/>
          <w:szCs w:val="21"/>
          <w:lang w:val="en-US" w:eastAsia="zh-CN" w:bidi="ar-SA"/>
        </w:rPr>
        <w:pict>
          <v:shape id="_x0000_i1025" o:spt="75" type="#_x0000_t75" style="height:1.25pt;width:437.0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r>
        <w:rPr>
          <w:rFonts w:ascii="仿宋" w:hAnsi="仿宋" w:eastAsia="仿宋" w:cs="仿宋"/>
          <w:snapToGrid w:val="0"/>
          <w:color w:val="000000"/>
          <w:spacing w:val="-10"/>
          <w:kern w:val="0"/>
          <w:sz w:val="32"/>
          <w:szCs w:val="32"/>
        </w:rPr>
        <w:t>本文书一</w:t>
      </w:r>
      <w:r>
        <w:rPr>
          <w:rFonts w:ascii="仿宋" w:hAnsi="仿宋" w:eastAsia="仿宋" w:cs="仿宋"/>
          <w:snapToGrid w:val="0"/>
          <w:color w:val="000000"/>
          <w:spacing w:val="-10"/>
          <w:kern w:val="0"/>
          <w:sz w:val="32"/>
          <w:szCs w:val="32"/>
          <w:u w:val="none" w:color="auto"/>
        </w:rPr>
        <w:t>式</w:t>
      </w:r>
      <w:r>
        <w:rPr>
          <w:rFonts w:hint="eastAsia" w:ascii="仿宋" w:hAnsi="仿宋" w:eastAsia="仿宋" w:cs="仿宋"/>
          <w:snapToGrid w:val="0"/>
          <w:color w:val="000000"/>
          <w:spacing w:val="6"/>
          <w:kern w:val="0"/>
          <w:sz w:val="32"/>
          <w:szCs w:val="32"/>
          <w:u w:val="none" w:color="auto"/>
          <w:lang w:eastAsia="zh-CN"/>
        </w:rPr>
        <w:t>四</w:t>
      </w:r>
      <w:r>
        <w:rPr>
          <w:rFonts w:ascii="仿宋" w:hAnsi="仿宋" w:eastAsia="仿宋" w:cs="仿宋"/>
          <w:snapToGrid w:val="0"/>
          <w:color w:val="000000"/>
          <w:spacing w:val="-10"/>
          <w:kern w:val="0"/>
          <w:sz w:val="32"/>
          <w:szCs w:val="32"/>
          <w:u w:val="none" w:color="auto"/>
        </w:rPr>
        <w:t>份，</w:t>
      </w:r>
      <w:r>
        <w:rPr>
          <w:rFonts w:hint="eastAsia" w:ascii="仿宋" w:hAnsi="仿宋" w:eastAsia="仿宋" w:cs="仿宋"/>
          <w:snapToGrid w:val="0"/>
          <w:color w:val="000000"/>
          <w:spacing w:val="20"/>
          <w:kern w:val="0"/>
          <w:sz w:val="32"/>
          <w:szCs w:val="32"/>
          <w:u w:val="none" w:color="auto"/>
          <w:lang w:eastAsia="zh-CN"/>
        </w:rPr>
        <w:t>一</w:t>
      </w:r>
      <w:r>
        <w:rPr>
          <w:rFonts w:ascii="仿宋" w:hAnsi="仿宋" w:eastAsia="仿宋" w:cs="仿宋"/>
          <w:snapToGrid w:val="0"/>
          <w:color w:val="000000"/>
          <w:spacing w:val="-10"/>
          <w:kern w:val="0"/>
          <w:sz w:val="32"/>
          <w:szCs w:val="32"/>
          <w:u w:val="none" w:color="auto"/>
        </w:rPr>
        <w:t>份送达，</w:t>
      </w:r>
      <w:r>
        <w:rPr>
          <w:rFonts w:hint="eastAsia" w:ascii="仿宋" w:hAnsi="仿宋" w:eastAsia="仿宋" w:cs="仿宋"/>
          <w:snapToGrid w:val="0"/>
          <w:color w:val="000000"/>
          <w:spacing w:val="-10"/>
          <w:kern w:val="0"/>
          <w:sz w:val="32"/>
          <w:szCs w:val="32"/>
          <w:u w:val="none" w:color="auto"/>
          <w:lang w:eastAsia="zh-CN"/>
        </w:rPr>
        <w:t>三</w:t>
      </w:r>
      <w:r>
        <w:rPr>
          <w:rFonts w:ascii="仿宋" w:hAnsi="仿宋" w:eastAsia="仿宋" w:cs="仿宋"/>
          <w:snapToGrid w:val="0"/>
          <w:color w:val="000000"/>
          <w:spacing w:val="-10"/>
          <w:kern w:val="0"/>
          <w:sz w:val="32"/>
          <w:szCs w:val="32"/>
          <w:u w:val="none" w:color="auto"/>
        </w:rPr>
        <w:t>份归档。</w:t>
      </w:r>
    </w:p>
    <w:sectPr>
      <w:headerReference r:id="rId3" w:type="default"/>
      <w:footerReference r:id="rId4"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6" w:lineRule="exact"/>
      <w:ind w:firstLine="7400"/>
      <w:jc w:val="left"/>
      <w:textAlignment w:val="baseline"/>
      <w:rPr>
        <w:rFonts w:hint="eastAsia" w:ascii="宋体" w:hAnsi="宋体" w:eastAsia="宋体" w:cs="宋体"/>
        <w:snapToGrid w:val="0"/>
        <w:color w:val="000000"/>
        <w:kern w:val="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Microsoft JhengHei" w:hAnsi="Arial" w:eastAsia="Arial" w:cs="Arial"/>
        <w:snapToGrid w:val="0"/>
        <w:color w:val="000000"/>
        <w:kern w:val="0"/>
        <w:sz w:val="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035439F0"/>
    <w:rsid w:val="00233B32"/>
    <w:rsid w:val="010F4186"/>
    <w:rsid w:val="01342A78"/>
    <w:rsid w:val="0181526B"/>
    <w:rsid w:val="01933235"/>
    <w:rsid w:val="02476B12"/>
    <w:rsid w:val="02BE639A"/>
    <w:rsid w:val="0310083B"/>
    <w:rsid w:val="035439F0"/>
    <w:rsid w:val="043F044A"/>
    <w:rsid w:val="04545A39"/>
    <w:rsid w:val="045A3C67"/>
    <w:rsid w:val="04BA298E"/>
    <w:rsid w:val="04C80C5C"/>
    <w:rsid w:val="04E14EAA"/>
    <w:rsid w:val="05575A53"/>
    <w:rsid w:val="057834B4"/>
    <w:rsid w:val="05934E1C"/>
    <w:rsid w:val="06EC4209"/>
    <w:rsid w:val="071362BC"/>
    <w:rsid w:val="07902D26"/>
    <w:rsid w:val="07A71C00"/>
    <w:rsid w:val="084107A4"/>
    <w:rsid w:val="087D2605"/>
    <w:rsid w:val="08D5207A"/>
    <w:rsid w:val="09793DBA"/>
    <w:rsid w:val="0A0229A2"/>
    <w:rsid w:val="0A200447"/>
    <w:rsid w:val="0B1266AC"/>
    <w:rsid w:val="0B4B2304"/>
    <w:rsid w:val="0C813A23"/>
    <w:rsid w:val="0C8E13E2"/>
    <w:rsid w:val="0D250C0F"/>
    <w:rsid w:val="0D383ECE"/>
    <w:rsid w:val="0D4F4DCF"/>
    <w:rsid w:val="0E305253"/>
    <w:rsid w:val="0E4A3962"/>
    <w:rsid w:val="0FDA5E36"/>
    <w:rsid w:val="10C728E2"/>
    <w:rsid w:val="10F94D13"/>
    <w:rsid w:val="11025D40"/>
    <w:rsid w:val="1175072F"/>
    <w:rsid w:val="1202638D"/>
    <w:rsid w:val="12052500"/>
    <w:rsid w:val="128B3B8D"/>
    <w:rsid w:val="13580579"/>
    <w:rsid w:val="148D5001"/>
    <w:rsid w:val="15FC2D30"/>
    <w:rsid w:val="163D0603"/>
    <w:rsid w:val="19796B52"/>
    <w:rsid w:val="1A383A3E"/>
    <w:rsid w:val="1AF369DF"/>
    <w:rsid w:val="1B5517A4"/>
    <w:rsid w:val="1C9A06CB"/>
    <w:rsid w:val="1CA000C1"/>
    <w:rsid w:val="1D21018F"/>
    <w:rsid w:val="1D214EDE"/>
    <w:rsid w:val="1D407D37"/>
    <w:rsid w:val="1D983D4B"/>
    <w:rsid w:val="1DBE767B"/>
    <w:rsid w:val="1DD6621F"/>
    <w:rsid w:val="1E8526D7"/>
    <w:rsid w:val="1F393F68"/>
    <w:rsid w:val="1F4075F6"/>
    <w:rsid w:val="200C4174"/>
    <w:rsid w:val="20D946DF"/>
    <w:rsid w:val="211D24DF"/>
    <w:rsid w:val="22E931C6"/>
    <w:rsid w:val="236C2C17"/>
    <w:rsid w:val="247840C7"/>
    <w:rsid w:val="2581222D"/>
    <w:rsid w:val="25824420"/>
    <w:rsid w:val="258A4521"/>
    <w:rsid w:val="26F326B7"/>
    <w:rsid w:val="27415867"/>
    <w:rsid w:val="27531316"/>
    <w:rsid w:val="27A01185"/>
    <w:rsid w:val="28026D66"/>
    <w:rsid w:val="284537D7"/>
    <w:rsid w:val="28EB3A45"/>
    <w:rsid w:val="2AF2317E"/>
    <w:rsid w:val="2BAA04D5"/>
    <w:rsid w:val="2C3E00E8"/>
    <w:rsid w:val="2EC3346F"/>
    <w:rsid w:val="2F960D08"/>
    <w:rsid w:val="302C7D7D"/>
    <w:rsid w:val="304506F8"/>
    <w:rsid w:val="309D356F"/>
    <w:rsid w:val="30CC1E12"/>
    <w:rsid w:val="31377344"/>
    <w:rsid w:val="31382B8F"/>
    <w:rsid w:val="3231446D"/>
    <w:rsid w:val="32667723"/>
    <w:rsid w:val="32C355E3"/>
    <w:rsid w:val="335E2999"/>
    <w:rsid w:val="33777226"/>
    <w:rsid w:val="33AA474B"/>
    <w:rsid w:val="35F34DAB"/>
    <w:rsid w:val="37014505"/>
    <w:rsid w:val="37540268"/>
    <w:rsid w:val="38836B21"/>
    <w:rsid w:val="38B218A7"/>
    <w:rsid w:val="3BB8041A"/>
    <w:rsid w:val="3BD80222"/>
    <w:rsid w:val="3C7F4B9D"/>
    <w:rsid w:val="3CBD2D1F"/>
    <w:rsid w:val="3D440158"/>
    <w:rsid w:val="3D553A72"/>
    <w:rsid w:val="3DAD3342"/>
    <w:rsid w:val="3DB03F8C"/>
    <w:rsid w:val="3EC43742"/>
    <w:rsid w:val="3ED22F0A"/>
    <w:rsid w:val="3F9E1105"/>
    <w:rsid w:val="3FA83DB9"/>
    <w:rsid w:val="3FC735CB"/>
    <w:rsid w:val="40F16FBA"/>
    <w:rsid w:val="41727C0E"/>
    <w:rsid w:val="43604830"/>
    <w:rsid w:val="43806F8F"/>
    <w:rsid w:val="43D70D2D"/>
    <w:rsid w:val="43E31BDD"/>
    <w:rsid w:val="448D3E7C"/>
    <w:rsid w:val="449E643C"/>
    <w:rsid w:val="45C47EED"/>
    <w:rsid w:val="46671088"/>
    <w:rsid w:val="473C7BA4"/>
    <w:rsid w:val="47CB669F"/>
    <w:rsid w:val="48C10AED"/>
    <w:rsid w:val="48C4214E"/>
    <w:rsid w:val="493F437F"/>
    <w:rsid w:val="4AEE30A5"/>
    <w:rsid w:val="4BA20EC5"/>
    <w:rsid w:val="4BC00B8E"/>
    <w:rsid w:val="4BE33C18"/>
    <w:rsid w:val="4BEB4BA0"/>
    <w:rsid w:val="4C3358C2"/>
    <w:rsid w:val="4D1065E2"/>
    <w:rsid w:val="4D1B2D82"/>
    <w:rsid w:val="4DA14016"/>
    <w:rsid w:val="4E2B1F0C"/>
    <w:rsid w:val="4EA14EAB"/>
    <w:rsid w:val="4ED87D88"/>
    <w:rsid w:val="4EE638F1"/>
    <w:rsid w:val="4FA12750"/>
    <w:rsid w:val="4FB42966"/>
    <w:rsid w:val="4FE318BC"/>
    <w:rsid w:val="506E0EF8"/>
    <w:rsid w:val="50F00E1B"/>
    <w:rsid w:val="50F04994"/>
    <w:rsid w:val="520E1E36"/>
    <w:rsid w:val="52F37E64"/>
    <w:rsid w:val="533F317C"/>
    <w:rsid w:val="53AD1AA6"/>
    <w:rsid w:val="547C0D9B"/>
    <w:rsid w:val="54BC09E5"/>
    <w:rsid w:val="554255B7"/>
    <w:rsid w:val="57AC7190"/>
    <w:rsid w:val="57DA57AF"/>
    <w:rsid w:val="58427897"/>
    <w:rsid w:val="587F1B00"/>
    <w:rsid w:val="58FA5BEF"/>
    <w:rsid w:val="5AAF60FA"/>
    <w:rsid w:val="5B0C44DB"/>
    <w:rsid w:val="5B673E9E"/>
    <w:rsid w:val="5C1F66ED"/>
    <w:rsid w:val="5C3B6135"/>
    <w:rsid w:val="5C8277BD"/>
    <w:rsid w:val="5C9A47A5"/>
    <w:rsid w:val="5CE82AC0"/>
    <w:rsid w:val="5D651C01"/>
    <w:rsid w:val="60210E7B"/>
    <w:rsid w:val="605D1A5E"/>
    <w:rsid w:val="606425D5"/>
    <w:rsid w:val="60E8769B"/>
    <w:rsid w:val="61861B4B"/>
    <w:rsid w:val="628C6BE7"/>
    <w:rsid w:val="62A02346"/>
    <w:rsid w:val="62E725F3"/>
    <w:rsid w:val="635024A2"/>
    <w:rsid w:val="63D22FEB"/>
    <w:rsid w:val="64347977"/>
    <w:rsid w:val="64853A67"/>
    <w:rsid w:val="64F5165B"/>
    <w:rsid w:val="662B4CF8"/>
    <w:rsid w:val="662E312F"/>
    <w:rsid w:val="667E059D"/>
    <w:rsid w:val="66984802"/>
    <w:rsid w:val="66DF25F1"/>
    <w:rsid w:val="66E31387"/>
    <w:rsid w:val="676F6377"/>
    <w:rsid w:val="678962E7"/>
    <w:rsid w:val="67BB22FB"/>
    <w:rsid w:val="67FE445E"/>
    <w:rsid w:val="684476F9"/>
    <w:rsid w:val="69142301"/>
    <w:rsid w:val="69ED4803"/>
    <w:rsid w:val="69EF7A5E"/>
    <w:rsid w:val="6A0E0365"/>
    <w:rsid w:val="6A6543AE"/>
    <w:rsid w:val="6B2600C2"/>
    <w:rsid w:val="6B5365BD"/>
    <w:rsid w:val="6BCC1122"/>
    <w:rsid w:val="6C275C9A"/>
    <w:rsid w:val="6C321B86"/>
    <w:rsid w:val="6E6B20C0"/>
    <w:rsid w:val="6ED559D3"/>
    <w:rsid w:val="70207207"/>
    <w:rsid w:val="70986EE6"/>
    <w:rsid w:val="70A71C50"/>
    <w:rsid w:val="70F82099"/>
    <w:rsid w:val="717125DB"/>
    <w:rsid w:val="7190267C"/>
    <w:rsid w:val="71951F66"/>
    <w:rsid w:val="71A06E04"/>
    <w:rsid w:val="723A2A01"/>
    <w:rsid w:val="72472FC3"/>
    <w:rsid w:val="727C09B9"/>
    <w:rsid w:val="73024EDB"/>
    <w:rsid w:val="73897D4E"/>
    <w:rsid w:val="740D475F"/>
    <w:rsid w:val="752508A7"/>
    <w:rsid w:val="756D24F0"/>
    <w:rsid w:val="759F009B"/>
    <w:rsid w:val="77223808"/>
    <w:rsid w:val="781167E8"/>
    <w:rsid w:val="78B32C1C"/>
    <w:rsid w:val="79607D2E"/>
    <w:rsid w:val="79DC0A62"/>
    <w:rsid w:val="7A11385F"/>
    <w:rsid w:val="7A380EE2"/>
    <w:rsid w:val="7A411536"/>
    <w:rsid w:val="7A850F42"/>
    <w:rsid w:val="7AFA6B98"/>
    <w:rsid w:val="7B0E0054"/>
    <w:rsid w:val="7BDA358B"/>
    <w:rsid w:val="7BFD624C"/>
    <w:rsid w:val="7C031BAC"/>
    <w:rsid w:val="7CAF77A0"/>
    <w:rsid w:val="7D021373"/>
    <w:rsid w:val="7D653868"/>
    <w:rsid w:val="7D8D0180"/>
    <w:rsid w:val="7DE953B9"/>
    <w:rsid w:val="7DFE1EEE"/>
    <w:rsid w:val="7F474278"/>
    <w:rsid w:val="7F487EA0"/>
    <w:rsid w:val="7F491320"/>
    <w:rsid w:val="7FCD4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1977</Words>
  <Characters>2126</Characters>
  <Lines>0</Lines>
  <Paragraphs>0</Paragraphs>
  <TotalTime>4</TotalTime>
  <ScaleCrop>false</ScaleCrop>
  <LinksUpToDate>false</LinksUpToDate>
  <CharactersWithSpaces>2538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2021-07-23T04:49:00Z</dcterms:created>
  <dc:creator>刘涛</dc:creator>
  <cp:lastModifiedBy>喜文</cp:lastModifiedBy>
  <cp:lastPrinted>2024-10-21T04:55:00Z</cp:lastPrinted>
  <dcterms:modified xsi:type="dcterms:W3CDTF">2024-11-22T09:27:25Z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4EE5D2F3FE424E558EFDF9631E1C824F</vt:lpwstr>
  </property>
</Properties>
</file>