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60" w:lineRule="exact"/>
        <w:ind w:left="0" w:right="0"/>
        <w:jc w:val="center"/>
        <w:textAlignment w:val="auto"/>
        <w:outlineLvl w:val="0"/>
        <w:rPr>
          <w:rFonts w:hint="eastAsia" w:ascii="方正小标宋简体" w:hAnsi="方正小标宋简体" w:eastAsia="方正小标宋简体" w:cs="方正小标宋简体"/>
          <w:sz w:val="44"/>
          <w:szCs w:val="44"/>
        </w:rPr>
      </w:pPr>
      <w:bookmarkStart w:id="0" w:name="_Toc27865"/>
      <w:bookmarkStart w:id="1" w:name="_Toc76683363"/>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wordWrap/>
        <w:overflowPunct/>
        <w:topLinePunct w:val="0"/>
        <w:bidi w:val="0"/>
        <w:spacing w:line="560" w:lineRule="exact"/>
        <w:ind w:left="0" w:right="0"/>
        <w:jc w:val="center"/>
        <w:textAlignment w:val="auto"/>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wordWrap/>
        <w:overflowPunct/>
        <w:topLinePunct w:val="0"/>
        <w:bidi w:val="0"/>
        <w:snapToGrid w:val="0"/>
        <w:spacing w:line="560" w:lineRule="exact"/>
        <w:ind w:left="0" w:right="0"/>
        <w:jc w:val="center"/>
        <w:textAlignment w:val="auto"/>
        <w:outlineLvl w:val="1"/>
        <w:rPr>
          <w:rFonts w:hint="eastAsia" w:ascii="Times New Roman" w:hAnsi="Times New Roman" w:eastAsia="仿宋_GB2312" w:cs="Mongolian Baiti"/>
          <w:color w:val="000000"/>
          <w:sz w:val="32"/>
          <w:szCs w:val="32"/>
        </w:rPr>
      </w:pPr>
      <w:r>
        <w:rPr>
          <w:rFonts w:hint="eastAsia" w:ascii="仿宋_GB2312" w:hAnsi="仿宋_GB2312" w:eastAsia="仿宋_GB2312" w:cs="仿宋_GB2312"/>
          <w:bCs/>
          <w:color w:val="000000"/>
          <w:sz w:val="32"/>
          <w:szCs w:val="32"/>
          <w:u w:val="none"/>
          <w:lang w:val="en-US"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31</w:t>
      </w:r>
      <w:r>
        <w:rPr>
          <w:rFonts w:hint="eastAsia" w:ascii="仿宋_GB2312" w:hAnsi="仿宋_GB2312" w:eastAsia="仿宋_GB2312" w:cs="仿宋_GB2312"/>
          <w:bCs/>
          <w:color w:val="000000"/>
          <w:sz w:val="32"/>
          <w:szCs w:val="32"/>
          <w:u w:val="none"/>
        </w:rPr>
        <w:t>号</w:t>
      </w: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kinsoku/>
        <w:wordWrap/>
        <w:overflowPunct/>
        <w:topLinePunct w:val="0"/>
        <w:bidi w:val="0"/>
        <w:spacing w:line="560" w:lineRule="exact"/>
        <w:ind w:left="0" w:right="0" w:hanging="140"/>
        <w:jc w:val="both"/>
        <w:textAlignment w:val="auto"/>
        <w:rPr>
          <w:rFonts w:hint="eastAsia" w:ascii="仿宋_GB2312" w:hAnsi="仿宋_GB2312" w:eastAsia="仿宋_GB2312" w:cs="仿宋_GB2312"/>
          <w:spacing w:val="6"/>
          <w:sz w:val="32"/>
          <w:szCs w:val="32"/>
          <w:lang w:val="en-US" w:eastAsia="zh-CN"/>
        </w:rPr>
      </w:pPr>
    </w:p>
    <w:p>
      <w:pPr>
        <w:keepNext w:val="0"/>
        <w:keepLines w:val="0"/>
        <w:pageBreakBefore w:val="0"/>
        <w:widowControl w:val="0"/>
        <w:kinsoku/>
        <w:wordWrap/>
        <w:overflowPunct/>
        <w:topLinePunct w:val="0"/>
        <w:bidi w:val="0"/>
        <w:snapToGrid/>
        <w:spacing w:line="560" w:lineRule="exact"/>
        <w:ind w:left="0" w:right="0" w:hanging="14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 xml:space="preserve">当事人：乌苏市昌鑫棉业有限公司              </w:t>
      </w:r>
    </w:p>
    <w:p>
      <w:pPr>
        <w:keepNext w:val="0"/>
        <w:keepLines w:val="0"/>
        <w:pageBreakBefore w:val="0"/>
        <w:widowControl w:val="0"/>
        <w:kinsoku/>
        <w:wordWrap/>
        <w:overflowPunct/>
        <w:topLinePunct w:val="0"/>
        <w:bidi w:val="0"/>
        <w:snapToGrid/>
        <w:spacing w:line="560" w:lineRule="exact"/>
        <w:ind w:left="0" w:right="0" w:hanging="14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 xml:space="preserve">主体资格证照名称： 营业执照                                 </w:t>
      </w:r>
    </w:p>
    <w:p>
      <w:pPr>
        <w:keepNext w:val="0"/>
        <w:keepLines w:val="0"/>
        <w:pageBreakBefore w:val="0"/>
        <w:widowControl w:val="0"/>
        <w:kinsoku/>
        <w:wordWrap/>
        <w:overflowPunct/>
        <w:topLinePunct w:val="0"/>
        <w:bidi w:val="0"/>
        <w:snapToGrid/>
        <w:spacing w:line="560" w:lineRule="exact"/>
        <w:ind w:left="0" w:right="0" w:hanging="14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统一社会信用代码：</w:t>
      </w:r>
      <w:r>
        <w:rPr>
          <w:rFonts w:hint="eastAsia" w:ascii="仿宋_GB2312" w:hAnsi="仿宋_GB2312" w:eastAsia="仿宋_GB2312" w:cs="仿宋_GB2312"/>
          <w:spacing w:val="-11"/>
          <w:sz w:val="32"/>
          <w:szCs w:val="32"/>
          <w:lang w:val="en-US" w:eastAsia="zh-CN"/>
        </w:rPr>
        <w:t>916542025524449883</w:t>
      </w:r>
    </w:p>
    <w:p>
      <w:pPr>
        <w:keepNext w:val="0"/>
        <w:keepLines w:val="0"/>
        <w:pageBreakBefore w:val="0"/>
        <w:widowControl w:val="0"/>
        <w:kinsoku/>
        <w:wordWrap/>
        <w:overflowPunct/>
        <w:topLinePunct w:val="0"/>
        <w:bidi w:val="0"/>
        <w:snapToGrid/>
        <w:spacing w:line="560" w:lineRule="exact"/>
        <w:ind w:left="0" w:right="0" w:hanging="14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pacing w:val="6"/>
          <w:sz w:val="32"/>
          <w:szCs w:val="32"/>
          <w:lang w:val="en-US" w:eastAsia="zh-CN"/>
        </w:rPr>
        <w:t>住所（住址）：</w:t>
      </w:r>
      <w:r>
        <w:rPr>
          <w:rFonts w:hint="eastAsia" w:ascii="仿宋_GB2312" w:hAnsi="仿宋_GB2312" w:eastAsia="仿宋_GB2312" w:cs="仿宋_GB2312"/>
          <w:sz w:val="32"/>
          <w:szCs w:val="32"/>
          <w:lang w:val="en-US" w:eastAsia="zh-CN"/>
        </w:rPr>
        <w:t>新疆塔城地区乌苏市哈图布呼镇哈图布呼村108号（大桥开发区312国道北）</w:t>
      </w:r>
    </w:p>
    <w:p>
      <w:pPr>
        <w:keepNext w:val="0"/>
        <w:keepLines w:val="0"/>
        <w:pageBreakBefore w:val="0"/>
        <w:widowControl w:val="0"/>
        <w:kinsoku/>
        <w:wordWrap/>
        <w:overflowPunct/>
        <w:topLinePunct w:val="0"/>
        <w:bidi w:val="0"/>
        <w:snapToGrid/>
        <w:spacing w:line="560" w:lineRule="exact"/>
        <w:ind w:left="0" w:right="0" w:hanging="14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pacing w:val="6"/>
          <w:sz w:val="32"/>
          <w:szCs w:val="32"/>
          <w:lang w:val="en-US" w:eastAsia="zh-CN"/>
        </w:rPr>
        <w:t>法定代表人：</w:t>
      </w:r>
      <w:r>
        <w:rPr>
          <w:rFonts w:hint="eastAsia" w:ascii="仿宋_GB2312" w:hAnsi="仿宋_GB2312" w:eastAsia="仿宋_GB2312" w:cs="仿宋_GB2312"/>
          <w:sz w:val="32"/>
          <w:szCs w:val="32"/>
          <w:lang w:val="en-US" w:eastAsia="zh-CN"/>
        </w:rPr>
        <w:t>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2024年10月30日，我局执法人员根据新疆维吾尔自治区市场监督管理局《检验室“一试五定”复查表》相关线索，组成执法小组对位于乌苏市哈图布呼镇哈图布呼村108号（大桥开发区312国道北）的乌苏市昌鑫棉业有限公司籽棉收购工作进行检查，执法人员按照《复查表》相关信息，在该公司棉检室调取三份籽棉收购检验单和收购过磅单，内容分别为：1、单据号：0001848，棉农：杨**，车号：宁AD2691，含杂率（%）：12.5，经现场复验结果：11.42%；2、单据号：0001853，棉农：赵**，车号：豫PJ5907，含杂率（%）：13.5，经现场复验结果：10.29%；3、单据号：0001856，棉农：赵**，车号：鲁RM5800，含杂率（%）：12.9，经现场复验结果：9.56%。</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当事人在经营活动中未严格按照国家标准和技术规范要求收购棉花的行为，涉嫌违反了《棉花质量监督管理条例》第七条第二款的规定。为进一步了解情况，经报局领导批准，于2024年11月14日立案，并指派崔光、张建辉</w:t>
      </w:r>
      <w:bookmarkStart w:id="3" w:name="_GoBack"/>
      <w:bookmarkEnd w:id="3"/>
      <w:r>
        <w:rPr>
          <w:rFonts w:hint="eastAsia" w:ascii="仿宋_GB2312" w:hAnsi="仿宋_GB2312" w:eastAsia="仿宋_GB2312" w:cs="仿宋_GB2312"/>
          <w:sz w:val="32"/>
          <w:szCs w:val="32"/>
          <w:lang w:val="en-US" w:eastAsia="zh-CN"/>
        </w:rPr>
        <w:t xml:space="preserve">对此案进行调查了解。本案已于2025年1月3日调查终结。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经查明，</w:t>
      </w:r>
      <w:r>
        <w:rPr>
          <w:rFonts w:hint="eastAsia" w:ascii="仿宋_GB2312" w:hAnsi="仿宋_GB2312" w:eastAsia="仿宋_GB2312" w:cs="仿宋_GB2312"/>
          <w:spacing w:val="6"/>
          <w:sz w:val="32"/>
          <w:szCs w:val="32"/>
          <w:lang w:val="en-US" w:eastAsia="zh-CN"/>
        </w:rPr>
        <w:t>乌苏市昌鑫棉业有限公司在</w:t>
      </w:r>
      <w:r>
        <w:rPr>
          <w:rFonts w:hint="eastAsia" w:ascii="仿宋_GB2312" w:hAnsi="仿宋_GB2312" w:eastAsia="仿宋_GB2312" w:cs="仿宋_GB2312"/>
          <w:sz w:val="32"/>
          <w:szCs w:val="32"/>
          <w:lang w:val="en-US" w:eastAsia="zh-CN"/>
        </w:rPr>
        <w:t>2024年10月26日、10月27日收购籽棉期间，棉农</w:t>
      </w: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赵**交售棉花单据号：0001853，于2024年10月29日经执法人员现场复检含杂率与该公司原始记录含杂率的检验误差值为3.21%；单据号：0001856，经复检含杂率与该公司原始记录含杂率的检验误差值为3.34%。经调查确认，当事人未按照国家标准和技术规范逐车检验籽棉的含杂率，部分检验数据采取估验</w:t>
      </w:r>
      <w:r>
        <w:rPr>
          <w:rFonts w:hint="eastAsia" w:ascii="仿宋_GB2312" w:hAnsi="仿宋_GB2312" w:eastAsia="仿宋_GB2312" w:cs="仿宋_GB2312"/>
          <w:sz w:val="32"/>
          <w:szCs w:val="32"/>
          <w:u w:val="none"/>
          <w:lang w:val="en-US" w:eastAsia="zh-CN"/>
        </w:rPr>
        <w:t>。</w:t>
      </w:r>
      <w:r>
        <w:rPr>
          <w:rFonts w:hint="eastAsia" w:ascii="仿宋_GB2312" w:hAnsi="仿宋_GB2312" w:eastAsia="仿宋_GB2312" w:cs="仿宋_GB2312"/>
          <w:sz w:val="32"/>
          <w:szCs w:val="32"/>
          <w:lang w:val="en-US" w:eastAsia="zh-CN"/>
        </w:rPr>
        <w:t>当事人在籽棉收购过程中未严格落实“一试五定”检验，只试轧了毛衣分，未批批进行检验，已构成未按照国家标准和技术规范要求收购棉花的违法行为。当事人在现场笔录、询问笔录上签字确认，未提出异议。</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3" w:firstLineChars="200"/>
        <w:jc w:val="both"/>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上述事实，主要有以下证据证明：</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64"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当事人提供的营业执照复印件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，证明当事人的</w:t>
      </w:r>
      <w:r>
        <w:rPr>
          <w:rFonts w:hint="eastAsia" w:ascii="仿宋_GB2312" w:hAnsi="仿宋_GB2312" w:eastAsia="仿宋_GB2312" w:cs="仿宋_GB2312"/>
          <w:color w:val="000000" w:themeColor="text1"/>
          <w:sz w:val="32"/>
          <w:szCs w:val="32"/>
          <w14:textFill>
            <w14:solidFill>
              <w14:schemeClr w14:val="tx1"/>
            </w14:solidFill>
          </w14:textFill>
        </w:rPr>
        <w:t xml:space="preserve">经营主体资格；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当事人提供的身份证复印件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该公司法定代表人</w:t>
      </w:r>
      <w:r>
        <w:rPr>
          <w:rFonts w:hint="eastAsia" w:ascii="仿宋_GB2312" w:hAnsi="仿宋_GB2312" w:eastAsia="仿宋_GB2312" w:cs="仿宋_GB2312"/>
          <w:color w:val="000000" w:themeColor="text1"/>
          <w:spacing w:val="6"/>
          <w:sz w:val="32"/>
          <w:szCs w:val="32"/>
          <w14:textFill>
            <w14:solidFill>
              <w14:schemeClr w14:val="tx1"/>
            </w14:solidFill>
          </w14:textFill>
        </w:rPr>
        <w:t>的身</w:t>
      </w:r>
      <w:r>
        <w:rPr>
          <w:rFonts w:hint="eastAsia" w:ascii="仿宋_GB2312" w:hAnsi="仿宋_GB2312" w:eastAsia="仿宋_GB2312" w:cs="仿宋_GB2312"/>
          <w:color w:val="000000" w:themeColor="text1"/>
          <w:sz w:val="32"/>
          <w:szCs w:val="32"/>
          <w14:textFill>
            <w14:solidFill>
              <w14:schemeClr w14:val="tx1"/>
            </w14:solidFill>
          </w14:textFill>
        </w:rPr>
        <w:t>份信息与营业执照登记的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信息</w:t>
      </w:r>
      <w:r>
        <w:rPr>
          <w:rFonts w:hint="eastAsia" w:ascii="仿宋_GB2312" w:hAnsi="仿宋_GB2312" w:eastAsia="仿宋_GB2312" w:cs="仿宋_GB2312"/>
          <w:color w:val="000000" w:themeColor="text1"/>
          <w:sz w:val="32"/>
          <w:szCs w:val="32"/>
          <w14:textFill>
            <w14:solidFill>
              <w14:schemeClr w14:val="tx1"/>
            </w14:solidFill>
          </w14:textFill>
        </w:rPr>
        <w:t>一致；</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textAlignment w:val="auto"/>
        <w:rPr>
          <w:rFonts w:hint="eastAsia" w:ascii="仿宋_GB2312" w:hAnsi="仿宋_GB2312" w:eastAsia="仿宋_GB2312" w:cs="仿宋_GB2312"/>
          <w:color w:val="000000" w:themeColor="text1"/>
          <w:spacing w:val="-6"/>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现场笔录</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份，证明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2024年10月30日</w:t>
      </w:r>
      <w:r>
        <w:rPr>
          <w:rFonts w:hint="eastAsia" w:ascii="仿宋_GB2312" w:hAnsi="仿宋_GB2312" w:eastAsia="仿宋_GB2312" w:cs="仿宋_GB2312"/>
          <w:spacing w:val="6"/>
          <w:sz w:val="32"/>
          <w:szCs w:val="32"/>
          <w:lang w:eastAsia="zh-CN"/>
        </w:rPr>
        <w:t>我局</w:t>
      </w:r>
      <w:r>
        <w:rPr>
          <w:rFonts w:hint="eastAsia" w:ascii="仿宋_GB2312" w:hAnsi="仿宋_GB2312" w:eastAsia="仿宋_GB2312" w:cs="仿宋_GB2312"/>
          <w:spacing w:val="6"/>
          <w:sz w:val="32"/>
          <w:szCs w:val="32"/>
        </w:rPr>
        <w:t>执法人员</w:t>
      </w:r>
      <w:r>
        <w:rPr>
          <w:rFonts w:hint="eastAsia" w:ascii="仿宋_GB2312" w:hAnsi="仿宋_GB2312" w:eastAsia="仿宋_GB2312" w:cs="仿宋_GB2312"/>
          <w:spacing w:val="6"/>
          <w:sz w:val="32"/>
          <w:szCs w:val="32"/>
          <w:lang w:eastAsia="zh-CN"/>
        </w:rPr>
        <w:t>现场检查时发现</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未按照国家标准和技术规范开展“一试五定”的</w:t>
      </w:r>
      <w:r>
        <w:rPr>
          <w:rFonts w:hint="eastAsia" w:ascii="仿宋_GB2312" w:hAnsi="仿宋_GB2312" w:eastAsia="仿宋_GB2312" w:cs="仿宋_GB2312"/>
          <w:sz w:val="32"/>
          <w:szCs w:val="32"/>
          <w:lang w:eastAsia="zh-CN"/>
        </w:rPr>
        <w:t>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14:textFill>
            <w14:solidFill>
              <w14:schemeClr w14:val="tx1"/>
            </w14:solidFill>
          </w14:textFill>
        </w:rPr>
        <w:t>询问笔录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份，</w:t>
      </w:r>
      <w:r>
        <w:rPr>
          <w:rFonts w:hint="eastAsia" w:ascii="仿宋_GB2312" w:hAnsi="仿宋_GB2312" w:eastAsia="仿宋_GB2312" w:cs="仿宋_GB2312"/>
          <w:sz w:val="32"/>
          <w:szCs w:val="32"/>
          <w:lang w:eastAsia="zh-CN"/>
        </w:rPr>
        <w:t>证明当事人在籽棉收购经营活动中，未按</w:t>
      </w:r>
      <w:r>
        <w:rPr>
          <w:rFonts w:hint="eastAsia" w:ascii="仿宋_GB2312" w:hAnsi="仿宋_GB2312" w:eastAsia="仿宋_GB2312" w:cs="仿宋_GB2312"/>
          <w:sz w:val="32"/>
          <w:szCs w:val="32"/>
          <w:lang w:val="en-US" w:eastAsia="zh-CN"/>
        </w:rPr>
        <w:t>国家标准和技术规范</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lang w:val="en-US" w:eastAsia="zh-CN"/>
        </w:rPr>
        <w:t>“一试五定”的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5、提取的</w:t>
      </w:r>
      <w:r>
        <w:rPr>
          <w:rFonts w:hint="eastAsia" w:ascii="仿宋_GB2312" w:hAnsi="仿宋_GB2312" w:eastAsia="仿宋_GB2312" w:cs="仿宋_GB2312"/>
          <w:spacing w:val="-11"/>
          <w:sz w:val="32"/>
          <w:szCs w:val="32"/>
          <w:lang w:val="en-US" w:eastAsia="zh-CN"/>
        </w:rPr>
        <w:t>乌苏市昌鑫棉业有限公司籽棉收购含杂率检验登记表</w:t>
      </w:r>
      <w:r>
        <w:rPr>
          <w:rFonts w:hint="eastAsia" w:ascii="仿宋_GB2312" w:hAnsi="仿宋_GB2312" w:eastAsia="仿宋_GB2312" w:cs="仿宋_GB2312"/>
          <w:spacing w:val="-6"/>
          <w:sz w:val="32"/>
          <w:szCs w:val="32"/>
          <w:lang w:val="en-US" w:eastAsia="zh-CN"/>
        </w:rPr>
        <w:t>复印件1份（单据号：</w:t>
      </w: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0001853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0001856，检验日期：2024年10月27日</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color w:val="000000" w:themeColor="text1"/>
          <w:spacing w:val="-11"/>
          <w:sz w:val="32"/>
          <w:szCs w:val="32"/>
          <w:u w:val="none"/>
          <w:lang w:val="en-US" w:eastAsia="zh-CN"/>
          <w14:textFill>
            <w14:solidFill>
              <w14:schemeClr w14:val="tx1"/>
            </w14:solidFill>
          </w14:textFill>
        </w:rPr>
        <w:t>证明当事人在籽棉收购经营活动中，未严格执行一试五定的事实；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6、提取的</w:t>
      </w:r>
      <w:r>
        <w:rPr>
          <w:rFonts w:hint="eastAsia" w:ascii="仿宋_GB2312" w:hAnsi="仿宋_GB2312" w:eastAsia="仿宋_GB2312" w:cs="仿宋_GB2312"/>
          <w:spacing w:val="-11"/>
          <w:sz w:val="32"/>
          <w:szCs w:val="32"/>
          <w:lang w:val="en-US" w:eastAsia="zh-CN"/>
        </w:rPr>
        <w:t>乌苏市昌鑫棉业有限公司2024年10月27日开具给棉农赵解放籽棉收购检验单复印件2份（单据号：</w:t>
      </w: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0001853、0001856</w:t>
      </w:r>
      <w:r>
        <w:rPr>
          <w:rFonts w:hint="eastAsia" w:ascii="仿宋_GB2312" w:hAnsi="仿宋_GB2312" w:eastAsia="仿宋_GB2312" w:cs="仿宋_GB2312"/>
          <w:spacing w:val="-11"/>
          <w:sz w:val="32"/>
          <w:szCs w:val="32"/>
          <w:lang w:val="en-US" w:eastAsia="zh-CN"/>
        </w:rPr>
        <w:t>）</w:t>
      </w:r>
      <w:r>
        <w:rPr>
          <w:rFonts w:hint="eastAsia" w:ascii="仿宋_GB2312" w:hAnsi="仿宋_GB2312" w:eastAsia="仿宋_GB2312" w:cs="仿宋_GB2312"/>
          <w:sz w:val="32"/>
          <w:szCs w:val="32"/>
          <w:lang w:val="en-US" w:eastAsia="zh-CN"/>
        </w:rPr>
        <w:t>、收购过磅单复印件</w:t>
      </w:r>
      <w:r>
        <w:rPr>
          <w:rFonts w:hint="eastAsia" w:ascii="仿宋_GB2312" w:hAnsi="仿宋_GB2312" w:eastAsia="仿宋_GB2312" w:cs="仿宋_GB2312"/>
          <w:color w:val="000000" w:themeColor="text1"/>
          <w:kern w:val="1"/>
          <w:sz w:val="32"/>
          <w:szCs w:val="32"/>
          <w:u w:val="none"/>
          <w:lang w:val="en-US" w:eastAsia="zh-CN"/>
          <w14:textFill>
            <w14:solidFill>
              <w14:schemeClr w14:val="tx1"/>
            </w14:solidFill>
          </w14:textFill>
        </w:rPr>
        <w:t>2份（单号：</w:t>
      </w:r>
      <w:r>
        <w:rPr>
          <w:rFonts w:hint="eastAsia" w:ascii="仿宋_GB2312" w:hAnsi="仿宋_GB2312" w:eastAsia="仿宋_GB2312" w:cs="仿宋_GB2312"/>
          <w:color w:val="000000" w:themeColor="text1"/>
          <w:spacing w:val="-20"/>
          <w:kern w:val="1"/>
          <w:sz w:val="32"/>
          <w:szCs w:val="32"/>
          <w:u w:val="none"/>
          <w:lang w:val="en-US" w:eastAsia="zh-CN"/>
          <w14:textFill>
            <w14:solidFill>
              <w14:schemeClr w14:val="tx1"/>
            </w14:solidFill>
          </w14:textFill>
        </w:rPr>
        <w:t>6575800202710274102700005、6575800202710274102700008），</w:t>
      </w:r>
      <w:r>
        <w:rPr>
          <w:rFonts w:hint="eastAsia" w:ascii="仿宋_GB2312" w:hAnsi="仿宋_GB2312" w:eastAsia="仿宋_GB2312" w:cs="仿宋_GB2312"/>
          <w:sz w:val="32"/>
          <w:szCs w:val="32"/>
          <w:lang w:val="en-US" w:eastAsia="zh-CN"/>
        </w:rPr>
        <w:t>证明当事人</w:t>
      </w:r>
      <w:r>
        <w:rPr>
          <w:rFonts w:hint="eastAsia" w:ascii="仿宋_GB2312" w:hAnsi="仿宋_GB2312" w:eastAsia="仿宋_GB2312" w:cs="仿宋_GB2312"/>
          <w:sz w:val="32"/>
          <w:szCs w:val="32"/>
          <w:lang w:eastAsia="zh-CN"/>
        </w:rPr>
        <w:t>在籽棉收购经营活动中，未按规定进行</w:t>
      </w:r>
      <w:r>
        <w:rPr>
          <w:rFonts w:hint="eastAsia" w:ascii="仿宋_GB2312" w:hAnsi="仿宋_GB2312" w:eastAsia="仿宋_GB2312" w:cs="仿宋_GB2312"/>
          <w:sz w:val="32"/>
          <w:szCs w:val="32"/>
          <w:lang w:val="en-US" w:eastAsia="zh-CN"/>
        </w:rPr>
        <w:t>“一试五定”的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7、新疆维吾尔自治区市场监督管理局出具的</w:t>
      </w:r>
      <w:r>
        <w:rPr>
          <w:rFonts w:hint="eastAsia" w:ascii="仿宋_GB2312" w:hAnsi="仿宋_GB2312" w:eastAsia="仿宋_GB2312" w:cs="仿宋_GB2312"/>
          <w:spacing w:val="-11"/>
          <w:sz w:val="32"/>
          <w:szCs w:val="32"/>
          <w:lang w:val="en-US" w:eastAsia="zh-CN"/>
        </w:rPr>
        <w:t>检验室“一试五定”复查表1份，证明当事人在收购籽棉经营活动中，含杂率未按照国家标准和技术规范进行检验的违法事实；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8、</w:t>
      </w:r>
      <w:r>
        <w:rPr>
          <w:rFonts w:hint="eastAsia" w:ascii="仿宋_GB2312" w:hAnsi="仿宋_GB2312" w:eastAsia="仿宋_GB2312" w:cs="仿宋_GB2312"/>
          <w:color w:val="000000" w:themeColor="text1"/>
          <w:sz w:val="32"/>
          <w:szCs w:val="32"/>
          <w14:textFill>
            <w14:solidFill>
              <w14:schemeClr w14:val="tx1"/>
            </w14:solidFill>
          </w14:textFill>
        </w:rPr>
        <w:t>现场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检查</w:t>
      </w:r>
      <w:r>
        <w:rPr>
          <w:rFonts w:hint="eastAsia" w:ascii="仿宋_GB2312" w:hAnsi="仿宋_GB2312" w:eastAsia="仿宋_GB2312" w:cs="仿宋_GB2312"/>
          <w:color w:val="000000" w:themeColor="text1"/>
          <w:sz w:val="32"/>
          <w:szCs w:val="32"/>
          <w14:textFill>
            <w14:solidFill>
              <w14:schemeClr w14:val="tx1"/>
            </w14:solidFill>
          </w14:textFill>
        </w:rPr>
        <w:t>拍摄照片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3张、音像视频资料1份，</w:t>
      </w:r>
      <w:r>
        <w:rPr>
          <w:rFonts w:hint="eastAsia" w:ascii="仿宋_GB2312" w:hAnsi="仿宋_GB2312" w:eastAsia="仿宋_GB2312" w:cs="仿宋_GB2312"/>
          <w:kern w:val="1"/>
          <w:sz w:val="32"/>
          <w:szCs w:val="32"/>
        </w:rPr>
        <w:t>证明执法人员对乌苏市</w:t>
      </w:r>
      <w:r>
        <w:rPr>
          <w:rFonts w:hint="eastAsia" w:ascii="仿宋_GB2312" w:hAnsi="仿宋_GB2312" w:eastAsia="仿宋_GB2312" w:cs="仿宋_GB2312"/>
          <w:kern w:val="1"/>
          <w:sz w:val="32"/>
          <w:szCs w:val="32"/>
          <w:lang w:eastAsia="zh-CN"/>
        </w:rPr>
        <w:t>昌鑫棉业有限公司进</w:t>
      </w:r>
      <w:r>
        <w:rPr>
          <w:rFonts w:hint="eastAsia" w:ascii="仿宋_GB2312" w:hAnsi="仿宋_GB2312" w:eastAsia="仿宋_GB2312" w:cs="仿宋_GB2312"/>
          <w:kern w:val="1"/>
          <w:sz w:val="32"/>
          <w:szCs w:val="32"/>
        </w:rPr>
        <w:t>行</w:t>
      </w:r>
      <w:r>
        <w:rPr>
          <w:rFonts w:hint="eastAsia" w:ascii="仿宋_GB2312" w:hAnsi="仿宋_GB2312" w:eastAsia="仿宋_GB2312" w:cs="仿宋_GB2312"/>
          <w:kern w:val="1"/>
          <w:sz w:val="32"/>
          <w:szCs w:val="32"/>
          <w:lang w:eastAsia="zh-CN"/>
        </w:rPr>
        <w:t>现场</w:t>
      </w:r>
      <w:r>
        <w:rPr>
          <w:rFonts w:hint="eastAsia" w:ascii="仿宋_GB2312" w:hAnsi="仿宋_GB2312" w:eastAsia="仿宋_GB2312" w:cs="仿宋_GB2312"/>
          <w:kern w:val="1"/>
          <w:sz w:val="32"/>
          <w:szCs w:val="32"/>
        </w:rPr>
        <w:t>检查发现当事人</w:t>
      </w:r>
      <w:r>
        <w:rPr>
          <w:rFonts w:hint="eastAsia" w:ascii="仿宋_GB2312" w:hAnsi="仿宋_GB2312" w:eastAsia="仿宋_GB2312" w:cs="仿宋_GB2312"/>
          <w:kern w:val="1"/>
          <w:sz w:val="32"/>
          <w:szCs w:val="32"/>
          <w:lang w:eastAsia="zh-CN"/>
        </w:rPr>
        <w:t>未按照国家标准和技术规范收购籽棉</w:t>
      </w:r>
      <w:r>
        <w:rPr>
          <w:rFonts w:hint="eastAsia" w:ascii="仿宋_GB2312" w:hAnsi="仿宋_GB2312" w:eastAsia="仿宋_GB2312" w:cs="仿宋_GB2312"/>
          <w:kern w:val="1"/>
          <w:sz w:val="32"/>
          <w:szCs w:val="32"/>
        </w:rPr>
        <w:t>的事实</w:t>
      </w:r>
      <w:r>
        <w:rPr>
          <w:rFonts w:hint="eastAsia" w:ascii="仿宋_GB2312" w:hAnsi="仿宋_GB2312" w:eastAsia="仿宋_GB2312" w:cs="仿宋_GB2312"/>
          <w:kern w:val="1"/>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以上证据材料均由当事人核对无误，并签字确认。</w:t>
      </w:r>
    </w:p>
    <w:p>
      <w:pPr>
        <w:pStyle w:val="2"/>
        <w:keepNext w:val="0"/>
        <w:keepLines w:val="0"/>
        <w:pageBreakBefore w:val="0"/>
        <w:widowControl w:val="0"/>
        <w:tabs>
          <w:tab w:val="left" w:pos="9060"/>
        </w:tabs>
        <w:kinsoku/>
        <w:wordWrap/>
        <w:overflowPunct/>
        <w:topLinePunct w:val="0"/>
        <w:bidi w:val="0"/>
        <w:snapToGrid/>
        <w:spacing w:line="560" w:lineRule="exact"/>
        <w:ind w:left="0" w:right="0"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bCs/>
          <w:color w:val="000000"/>
          <w:sz w:val="32"/>
          <w:szCs w:val="32"/>
          <w:u w:val="none" w:color="auto"/>
          <w:lang w:eastAsia="zh-CN"/>
        </w:rPr>
        <w:t>我</w:t>
      </w:r>
      <w:r>
        <w:rPr>
          <w:rFonts w:hint="eastAsia" w:ascii="仿宋_GB2312" w:hAnsi="仿宋_GB2312" w:eastAsia="仿宋_GB2312" w:cs="仿宋_GB2312"/>
          <w:bCs/>
          <w:color w:val="000000"/>
          <w:sz w:val="32"/>
          <w:szCs w:val="32"/>
          <w:u w:val="none" w:color="auto"/>
        </w:rPr>
        <w:t>局于202</w:t>
      </w:r>
      <w:r>
        <w:rPr>
          <w:rFonts w:hint="eastAsia" w:ascii="仿宋_GB2312" w:hAnsi="仿宋_GB2312" w:eastAsia="仿宋_GB2312" w:cs="仿宋_GB2312"/>
          <w:bCs/>
          <w:color w:val="000000"/>
          <w:sz w:val="32"/>
          <w:szCs w:val="32"/>
          <w:u w:val="none" w:color="auto"/>
          <w:lang w:val="en-US" w:eastAsia="zh-CN"/>
        </w:rPr>
        <w:t>5</w:t>
      </w:r>
      <w:r>
        <w:rPr>
          <w:rFonts w:hint="eastAsia" w:ascii="仿宋_GB2312" w:hAnsi="仿宋_GB2312" w:eastAsia="仿宋_GB2312" w:cs="仿宋_GB2312"/>
          <w:bCs/>
          <w:color w:val="000000"/>
          <w:sz w:val="32"/>
          <w:szCs w:val="32"/>
          <w:u w:val="none" w:color="auto"/>
        </w:rPr>
        <w:t>年</w:t>
      </w:r>
      <w:r>
        <w:rPr>
          <w:rFonts w:hint="eastAsia" w:ascii="仿宋_GB2312" w:hAnsi="仿宋_GB2312" w:eastAsia="仿宋_GB2312" w:cs="仿宋_GB2312"/>
          <w:bCs/>
          <w:color w:val="000000"/>
          <w:sz w:val="32"/>
          <w:szCs w:val="32"/>
          <w:u w:val="none" w:color="auto"/>
          <w:lang w:val="en-US" w:eastAsia="zh-CN"/>
        </w:rPr>
        <w:t>1</w:t>
      </w:r>
      <w:r>
        <w:rPr>
          <w:rFonts w:hint="eastAsia" w:ascii="仿宋_GB2312" w:hAnsi="仿宋_GB2312" w:eastAsia="仿宋_GB2312" w:cs="仿宋_GB2312"/>
          <w:bCs/>
          <w:color w:val="000000"/>
          <w:sz w:val="32"/>
          <w:szCs w:val="32"/>
          <w:u w:val="none" w:color="auto"/>
        </w:rPr>
        <w:t>月</w:t>
      </w:r>
      <w:r>
        <w:rPr>
          <w:rFonts w:hint="eastAsia" w:ascii="仿宋_GB2312" w:hAnsi="仿宋_GB2312" w:eastAsia="仿宋_GB2312" w:cs="仿宋_GB2312"/>
          <w:bCs/>
          <w:color w:val="000000"/>
          <w:sz w:val="32"/>
          <w:szCs w:val="32"/>
          <w:u w:val="none" w:color="auto"/>
          <w:lang w:val="en-US" w:eastAsia="zh-CN"/>
        </w:rPr>
        <w:t>22</w:t>
      </w:r>
      <w:r>
        <w:rPr>
          <w:rFonts w:hint="eastAsia" w:ascii="仿宋_GB2312" w:hAnsi="仿宋_GB2312" w:eastAsia="仿宋_GB2312" w:cs="仿宋_GB2312"/>
          <w:bCs/>
          <w:color w:val="000000"/>
          <w:sz w:val="32"/>
          <w:szCs w:val="32"/>
          <w:u w:val="none" w:color="auto"/>
        </w:rPr>
        <w:t>日</w:t>
      </w:r>
      <w:r>
        <w:rPr>
          <w:rFonts w:hint="eastAsia" w:ascii="仿宋_GB2312" w:hAnsi="仿宋_GB2312" w:eastAsia="仿宋_GB2312" w:cs="仿宋_GB2312"/>
          <w:bCs/>
          <w:color w:val="000000"/>
          <w:sz w:val="32"/>
          <w:szCs w:val="32"/>
          <w:u w:val="none" w:color="auto"/>
          <w:lang w:eastAsia="zh-CN"/>
        </w:rPr>
        <w:t>依法</w:t>
      </w:r>
      <w:r>
        <w:rPr>
          <w:rFonts w:hint="eastAsia" w:ascii="仿宋_GB2312" w:hAnsi="仿宋_GB2312" w:eastAsia="仿宋_GB2312" w:cs="仿宋_GB2312"/>
          <w:bCs/>
          <w:color w:val="000000"/>
          <w:sz w:val="32"/>
          <w:szCs w:val="32"/>
          <w:u w:val="none" w:color="auto"/>
        </w:rPr>
        <w:t>向当事人送达了《行政处罚告知书》</w:t>
      </w:r>
      <w:r>
        <w:rPr>
          <w:rFonts w:hint="eastAsia" w:ascii="仿宋_GB2312" w:hAnsi="仿宋_GB2312" w:eastAsia="仿宋_GB2312" w:cs="仿宋_GB2312"/>
          <w:bCs/>
          <w:color w:val="000000"/>
          <w:sz w:val="32"/>
          <w:szCs w:val="32"/>
          <w:u w:val="none" w:color="auto"/>
          <w:lang w:eastAsia="zh-CN"/>
        </w:rPr>
        <w:t>（</w:t>
      </w:r>
      <w:r>
        <w:rPr>
          <w:rFonts w:hint="eastAsia" w:ascii="仿宋_GB2312" w:hAnsi="仿宋_GB2312" w:eastAsia="仿宋_GB2312" w:cs="仿宋_GB2312"/>
          <w:bCs/>
          <w:color w:val="000000"/>
          <w:sz w:val="32"/>
          <w:szCs w:val="32"/>
          <w:u w:val="none" w:color="auto"/>
          <w:lang w:val="en-US" w:eastAsia="zh-CN"/>
        </w:rPr>
        <w:t>塔乌市监罚告〔2025〕25号）</w:t>
      </w:r>
      <w:r>
        <w:rPr>
          <w:rFonts w:hint="eastAsia" w:ascii="仿宋_GB2312" w:hAnsi="仿宋_GB2312" w:eastAsia="仿宋_GB2312" w:cs="仿宋_GB2312"/>
          <w:bCs/>
          <w:color w:val="000000"/>
          <w:sz w:val="32"/>
          <w:szCs w:val="32"/>
          <w:u w:val="none" w:color="auto"/>
        </w:rPr>
        <w:t>，</w:t>
      </w:r>
      <w:r>
        <w:rPr>
          <w:rFonts w:hint="eastAsia" w:ascii="仿宋_GB2312" w:hAnsi="仿宋_GB2312" w:eastAsia="仿宋_GB2312" w:cs="仿宋_GB2312"/>
          <w:bCs/>
          <w:color w:val="000000"/>
          <w:sz w:val="32"/>
          <w:szCs w:val="32"/>
          <w:u w:val="none" w:color="auto"/>
          <w:lang w:eastAsia="zh-CN"/>
        </w:rPr>
        <w:t>告知当事人依法享有陈述、申辩的权利，</w:t>
      </w:r>
      <w:r>
        <w:rPr>
          <w:rFonts w:hint="eastAsia" w:ascii="仿宋_GB2312" w:hAnsi="仿宋_GB2312" w:eastAsia="仿宋_GB2312" w:cs="仿宋_GB2312"/>
          <w:bCs/>
          <w:color w:val="000000"/>
          <w:sz w:val="32"/>
          <w:szCs w:val="32"/>
          <w:u w:val="none" w:color="auto"/>
        </w:rPr>
        <w:t>当事人在法定期限内</w:t>
      </w:r>
      <w:r>
        <w:rPr>
          <w:rFonts w:hint="eastAsia" w:ascii="仿宋_GB2312" w:hAnsi="仿宋_GB2312" w:eastAsia="仿宋_GB2312" w:cs="仿宋_GB2312"/>
          <w:bCs/>
          <w:color w:val="000000"/>
          <w:sz w:val="32"/>
          <w:szCs w:val="32"/>
          <w:u w:val="none" w:color="auto"/>
          <w:lang w:eastAsia="zh-CN"/>
        </w:rPr>
        <w:t>未</w:t>
      </w:r>
      <w:r>
        <w:rPr>
          <w:rFonts w:hint="eastAsia" w:ascii="仿宋_GB2312" w:hAnsi="仿宋_GB2312" w:eastAsia="仿宋_GB2312" w:cs="仿宋_GB2312"/>
          <w:bCs/>
          <w:color w:val="000000"/>
          <w:sz w:val="32"/>
          <w:szCs w:val="32"/>
          <w:u w:val="none" w:color="auto"/>
        </w:rPr>
        <w:t>提出陈述、申辩</w:t>
      </w:r>
      <w:r>
        <w:rPr>
          <w:rFonts w:hint="eastAsia" w:ascii="仿宋_GB2312" w:hAnsi="仿宋_GB2312" w:eastAsia="仿宋_GB2312" w:cs="仿宋_GB2312"/>
          <w:bCs/>
          <w:color w:val="000000"/>
          <w:sz w:val="32"/>
          <w:szCs w:val="32"/>
          <w:u w:val="none" w:color="auto"/>
          <w:lang w:eastAsia="zh-CN"/>
        </w:rPr>
        <w:t>，视为放弃此权利</w:t>
      </w:r>
      <w:r>
        <w:rPr>
          <w:rFonts w:hint="eastAsia" w:ascii="仿宋_GB2312" w:hAnsi="仿宋_GB2312" w:eastAsia="仿宋_GB2312" w:cs="仿宋_GB2312"/>
          <w:bCs/>
          <w:color w:val="000000"/>
          <w:sz w:val="32"/>
          <w:szCs w:val="32"/>
          <w:u w:val="none" w:color="auto"/>
        </w:rPr>
        <w:t xml:space="preserve">。 </w:t>
      </w:r>
      <w:r>
        <w:rPr>
          <w:rFonts w:hint="eastAsia" w:ascii="仿宋_GB2312" w:hAnsi="仿宋_GB2312" w:eastAsia="仿宋_GB2312" w:cs="仿宋_GB2312"/>
          <w:sz w:val="32"/>
          <w:szCs w:val="32"/>
          <w:u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z w:val="32"/>
          <w:szCs w:val="32"/>
          <w:lang w:val="en-US" w:eastAsia="zh-CN"/>
        </w:rPr>
        <w:t>当事人在收购籽棉过程中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未按照国家标准和技术规范收购棉花</w:t>
      </w:r>
      <w:r>
        <w:rPr>
          <w:rFonts w:hint="eastAsia" w:ascii="仿宋_GB2312" w:hAnsi="仿宋_GB2312" w:eastAsia="仿宋_GB2312" w:cs="仿宋_GB2312"/>
          <w:sz w:val="32"/>
          <w:szCs w:val="32"/>
          <w:lang w:val="en-US" w:eastAsia="zh-CN"/>
        </w:rPr>
        <w:t>的行为，违反了《棉花质量监督管理条例》第七条第二款：“棉花经营者收购棉花时，应当按照国家标准和技术规范，排除异性纤维和其他有害物质后确定所收购棉</w:t>
      </w:r>
      <w:r>
        <w:rPr>
          <w:rFonts w:hint="eastAsia" w:ascii="仿宋_GB2312" w:hAnsi="仿宋_GB2312" w:eastAsia="仿宋_GB2312" w:cs="仿宋_GB2312"/>
          <w:spacing w:val="-6"/>
          <w:sz w:val="32"/>
          <w:szCs w:val="32"/>
          <w:lang w:val="en-US" w:eastAsia="zh-CN"/>
        </w:rPr>
        <w:t>花的类别、等级、数量；所收购的棉花超出国家规定的水分标准的，应当晾晒、烘干等技术处理，保证棉花质量。”的规定，属违法行为。</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16" w:firstLineChars="200"/>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pacing w:val="-6"/>
          <w:sz w:val="32"/>
          <w:szCs w:val="32"/>
          <w:u w:val="none"/>
          <w:lang w:eastAsia="zh-CN"/>
          <w14:textFill>
            <w14:solidFill>
              <w14:schemeClr w14:val="tx1"/>
            </w14:solidFill>
          </w14:textFill>
        </w:rPr>
        <w:t>鉴于当事人在案件调查过程中</w:t>
      </w:r>
      <w:r>
        <w:rPr>
          <w:rFonts w:hint="eastAsia" w:ascii="仿宋_GB2312" w:hAnsi="仿宋_GB2312" w:eastAsia="仿宋_GB2312" w:cs="仿宋_GB2312"/>
          <w:color w:val="000000" w:themeColor="text1"/>
          <w:spacing w:val="-6"/>
          <w:sz w:val="32"/>
          <w:szCs w:val="32"/>
          <w:u w:val="none"/>
          <w:lang w:val="en-US" w:eastAsia="zh-CN"/>
          <w14:textFill>
            <w14:solidFill>
              <w14:schemeClr w14:val="tx1"/>
            </w14:solidFill>
          </w14:textFill>
        </w:rPr>
        <w:t>态度端正，积极配合案件调查并如实陈述违法事实，</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违法行为危害后果轻微，认识深刻并积极主动改正，通过学习法律法规认识到自身的错误，承诺今后在经营活动中遵纪守法。</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的上述情况符合《新疆维吾尔自治区 新疆生产建设兵团市场监督管理行政处罚裁量权适用规定》第十七条第二项、第三项：“有下列情形之一的，可以依法从轻或者减轻行政处罚：（二）积极配合市场监督管理部门调查，并主动提供证据材料的；（三）违法行为轻微，社会危害性较大的；”的规定，参照《新疆维吾尔自治区 新疆生产建设兵团市场监督管理行政处罚裁量基准（2024年版）》第九章纤维检验监督管理第一节《棉花质量监督管理条例》“序号1，违法行为：棉花经营者收购棉花，不按照国家标准和技术规范排除异性纤维和其他有害物质后确定所收购的棉花的类别、等级、数量，</w:t>
      </w:r>
      <w:r>
        <w:rPr>
          <w:rFonts w:hint="eastAsia" w:ascii="仿宋_GB2312" w:hAnsi="仿宋_GB2312" w:eastAsia="仿宋_GB2312" w:cs="仿宋_GB2312"/>
          <w:spacing w:val="6"/>
          <w:sz w:val="32"/>
          <w:szCs w:val="32"/>
          <w:lang w:val="en-US" w:eastAsia="zh-CN"/>
        </w:rPr>
        <w:t>或者对所收购的棉花超出国家规定水分标准的棉花不进行</w:t>
      </w:r>
      <w:r>
        <w:rPr>
          <w:rFonts w:hint="eastAsia" w:ascii="仿宋_GB2312" w:hAnsi="仿宋_GB2312" w:eastAsia="仿宋_GB2312" w:cs="仿宋_GB2312"/>
          <w:sz w:val="32"/>
          <w:szCs w:val="32"/>
          <w:lang w:val="en-US" w:eastAsia="zh-CN"/>
        </w:rPr>
        <w:t>技术处理，或者对所收购的棉花不分类别、等级置放的行为。法律依据：《棉花质量监督管理条例》第二十四条：棉花经营者收购棉花，违反本条例第七条第二款的规定，不按照国</w:t>
      </w:r>
      <w:r>
        <w:rPr>
          <w:rFonts w:hint="eastAsia" w:ascii="仿宋_GB2312" w:hAnsi="仿宋_GB2312" w:eastAsia="仿宋_GB2312" w:cs="仿宋_GB2312"/>
          <w:spacing w:val="6"/>
          <w:sz w:val="32"/>
          <w:szCs w:val="32"/>
          <w:lang w:val="en-US" w:eastAsia="zh-CN"/>
        </w:rPr>
        <w:t>家标准和技术规范排除异性纤维和其他有害物质后确定所</w:t>
      </w:r>
      <w:r>
        <w:rPr>
          <w:rFonts w:hint="eastAsia" w:ascii="仿宋_GB2312" w:hAnsi="仿宋_GB2312" w:eastAsia="仿宋_GB2312" w:cs="仿宋_GB2312"/>
          <w:sz w:val="32"/>
          <w:szCs w:val="32"/>
          <w:lang w:val="en-US" w:eastAsia="zh-CN"/>
        </w:rPr>
        <w:t>收购的棉花的类别、等级、数量，或者对所收购的棉花超出国家规定水分标准的棉花不进行技术处理，或者对所收购的棉花不分类别、等级置放的，由棉花质量监督管理机构责令</w:t>
      </w:r>
      <w:r>
        <w:rPr>
          <w:rFonts w:hint="eastAsia" w:ascii="仿宋_GB2312" w:hAnsi="仿宋_GB2312" w:eastAsia="仿宋_GB2312" w:cs="仿宋_GB2312"/>
          <w:spacing w:val="6"/>
          <w:sz w:val="32"/>
          <w:szCs w:val="32"/>
          <w:lang w:val="en-US" w:eastAsia="zh-CN"/>
        </w:rPr>
        <w:t>改正，可以处3万元以下的罚款。违法情节：有下列情形之一的：（1）只检验籽棉衣分率，对棉花颜色级或长度或回潮率进行估验确定棉花等级、数量的</w:t>
      </w:r>
      <w:r>
        <w:rPr>
          <w:rFonts w:hint="eastAsia" w:ascii="仿宋_GB2312" w:hAnsi="仿宋_GB2312" w:eastAsia="仿宋_GB2312" w:cs="仿宋_GB2312"/>
          <w:sz w:val="32"/>
          <w:szCs w:val="32"/>
          <w:lang w:val="en-US" w:eastAsia="zh-CN"/>
        </w:rPr>
        <w:t>；裁量基准：（1）责令改正；（2）可以处9000元以上2.1万元以下罚款。”的规定，综合考虑个案情况、</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主客观等相关因素，决定给予</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一般行政处罚。</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依据《棉花质量监督管理条例》第二十四条：“棉花经营者收购棉花，违反本条例第七条第二款、第三款的规定，不按照国家标准和技术规范排除异性纤维和其他有害物质后确定所收购的棉花的类别、等级、数量，或</w:t>
      </w:r>
      <w:r>
        <w:rPr>
          <w:rFonts w:hint="eastAsia" w:ascii="仿宋_GB2312" w:hAnsi="仿宋_GB2312" w:eastAsia="仿宋_GB2312" w:cs="仿宋_GB2312"/>
          <w:color w:val="000000" w:themeColor="text1"/>
          <w:spacing w:val="6"/>
          <w:sz w:val="32"/>
          <w:szCs w:val="32"/>
          <w:u w:val="none"/>
          <w:lang w:val="en-US" w:eastAsia="zh-CN"/>
          <w14:textFill>
            <w14:solidFill>
              <w14:schemeClr w14:val="tx1"/>
            </w14:solidFill>
          </w14:textFill>
        </w:rPr>
        <w:t>者对所收购的棉花超出国家规定水分标准的棉花不进行技</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术处理，或者对所收购的棉花不分类别、等级置放的，由棉花质量监督管理机构责令改正，可以处3万元以下的罚款。”的规定，责令当事人改正违法经营行为，决定对当事人处罚如下：</w:t>
      </w:r>
    </w:p>
    <w:p>
      <w:pPr>
        <w:keepNext w:val="0"/>
        <w:keepLines w:val="0"/>
        <w:pageBreakBefore w:val="0"/>
        <w:widowControl w:val="0"/>
        <w:kinsoku/>
        <w:wordWrap/>
        <w:overflowPunct/>
        <w:topLinePunct w:val="0"/>
        <w:bidi w:val="0"/>
        <w:snapToGrid/>
        <w:spacing w:line="560" w:lineRule="exact"/>
        <w:ind w:left="0" w:right="0" w:firstLine="640" w:firstLineChars="200"/>
        <w:jc w:val="both"/>
        <w:textAlignment w:val="auto"/>
        <w:rPr>
          <w:rFonts w:hint="eastAsia" w:ascii="仿宋_GB2312" w:hAnsi="仿宋_GB2312" w:eastAsia="仿宋_GB2312" w:cs="仿宋_GB2312"/>
          <w:color w:val="000000"/>
          <w:sz w:val="32"/>
          <w:szCs w:val="32"/>
          <w:u w:val="none" w:color="auto"/>
          <w:lang w:val="en-US" w:eastAsia="zh-CN"/>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 xml:space="preserve">处10000元罚款。  </w:t>
      </w:r>
    </w:p>
    <w:p>
      <w:pPr>
        <w:pStyle w:val="2"/>
        <w:keepNext w:val="0"/>
        <w:keepLines w:val="0"/>
        <w:pageBreakBefore w:val="0"/>
        <w:widowControl w:val="0"/>
        <w:tabs>
          <w:tab w:val="left" w:pos="9060"/>
        </w:tabs>
        <w:kinsoku/>
        <w:wordWrap/>
        <w:overflowPunct/>
        <w:topLinePunct w:val="0"/>
        <w:bidi w:val="0"/>
        <w:snapToGrid/>
        <w:spacing w:line="560" w:lineRule="exact"/>
        <w:ind w:left="0" w:right="0" w:firstLine="640" w:firstLineChars="200"/>
        <w:jc w:val="both"/>
        <w:textAlignment w:val="auto"/>
        <w:rPr>
          <w:rFonts w:hint="eastAsia" w:ascii="仿宋_GB2312" w:hAnsi="仿宋_GB2312" w:eastAsia="仿宋_GB2312" w:cs="仿宋_GB2312"/>
          <w:kern w:val="2"/>
          <w:sz w:val="32"/>
          <w:szCs w:val="32"/>
          <w:u w:val="none"/>
          <w:lang w:val="en-US" w:eastAsia="zh-CN" w:bidi="ar-SA"/>
        </w:rPr>
      </w:pPr>
      <w:r>
        <w:rPr>
          <w:rFonts w:hint="eastAsia" w:ascii="仿宋_GB2312" w:hAnsi="仿宋_GB2312" w:eastAsia="仿宋_GB2312" w:cs="仿宋_GB2312"/>
          <w:kern w:val="2"/>
          <w:sz w:val="32"/>
          <w:szCs w:val="32"/>
          <w:u w:val="none"/>
          <w:lang w:val="en-US" w:eastAsia="zh-CN" w:bidi="ar-SA"/>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_GB2312" w:hAnsi="仿宋_GB2312" w:eastAsia="仿宋_GB2312" w:cs="仿宋_GB2312"/>
          <w:kern w:val="2"/>
          <w:sz w:val="32"/>
          <w:szCs w:val="32"/>
          <w:u w:val="none"/>
          <w:lang w:val="en-US" w:eastAsia="zh-CN" w:bidi="ar-SA"/>
        </w:rPr>
      </w:pPr>
      <w:r>
        <w:rPr>
          <w:rFonts w:hint="eastAsia" w:ascii="仿宋_GB2312" w:hAnsi="仿宋_GB2312" w:eastAsia="仿宋_GB2312" w:cs="仿宋_GB2312"/>
          <w:kern w:val="2"/>
          <w:sz w:val="32"/>
          <w:szCs w:val="32"/>
          <w:u w:val="none"/>
          <w:lang w:val="en-US" w:eastAsia="zh-CN" w:bidi="ar-SA"/>
        </w:rPr>
        <w:t xml:space="preserve">如不服本行政处罚决定，可以在收到本行政处罚决定书之日起六十日内向乌苏市人民政府（地址：乌苏市新市区长江路139号财政大楼三楼行政复议办公室）申请行政复议；也可以在六个月内依法向乌苏市人民法院（地址：乌苏市新市区长江路140号）提起行政诉讼。申请行政复议或者提起行政诉讼期间，行政处罚不停止执行。                                                                     </w:t>
      </w: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snapToGrid/>
        <w:spacing w:line="560" w:lineRule="exact"/>
        <w:ind w:left="0" w:right="0" w:rightChars="0" w:firstLine="601"/>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乌苏市</w:t>
      </w:r>
      <w:r>
        <w:rPr>
          <w:rFonts w:hint="eastAsia" w:ascii="仿宋_GB2312" w:hAnsi="仿宋_GB2312" w:eastAsia="仿宋_GB2312" w:cs="仿宋_GB2312"/>
          <w:color w:val="000000"/>
          <w:sz w:val="32"/>
          <w:szCs w:val="32"/>
        </w:rPr>
        <w:t>市场监督管理局</w:t>
      </w:r>
    </w:p>
    <w:p>
      <w:pPr>
        <w:keepNext w:val="0"/>
        <w:keepLines w:val="0"/>
        <w:pageBreakBefore w:val="0"/>
        <w:widowControl w:val="0"/>
        <w:kinsoku/>
        <w:wordWrap/>
        <w:overflowPunct/>
        <w:topLinePunct w:val="0"/>
        <w:bidi w:val="0"/>
        <w:snapToGrid/>
        <w:spacing w:line="560" w:lineRule="exact"/>
        <w:ind w:left="0" w:right="0" w:firstLine="601"/>
        <w:jc w:val="both"/>
        <w:textAlignment w:val="auto"/>
        <w:outlineLvl w:val="1"/>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 xml:space="preserve">   2025</w:t>
      </w:r>
      <w:r>
        <w:rPr>
          <w:rFonts w:hint="eastAsia" w:ascii="仿宋_GB2312" w:hAnsi="仿宋_GB2312" w:eastAsia="仿宋_GB2312" w:cs="仿宋_GB2312"/>
          <w:color w:val="000000"/>
          <w:sz w:val="32"/>
          <w:szCs w:val="32"/>
        </w:rPr>
        <w:t xml:space="preserve">年 </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 xml:space="preserve"> 月 </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 xml:space="preserve"> 日</w:t>
      </w:r>
    </w:p>
    <w:p>
      <w:pPr>
        <w:keepNext w:val="0"/>
        <w:keepLines w:val="0"/>
        <w:pageBreakBefore w:val="0"/>
        <w:widowControl w:val="0"/>
        <w:kinsoku/>
        <w:wordWrap/>
        <w:overflowPunct/>
        <w:topLinePunct w:val="0"/>
        <w:bidi w:val="0"/>
        <w:snapToGrid/>
        <w:spacing w:line="560" w:lineRule="exact"/>
        <w:ind w:left="0" w:right="0" w:firstLine="601"/>
        <w:jc w:val="both"/>
        <w:textAlignment w:val="auto"/>
        <w:outlineLvl w:val="1"/>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231F20"/>
          <w:spacing w:val="-16"/>
          <w:sz w:val="32"/>
          <w:szCs w:val="32"/>
        </w:rPr>
        <w:t>（市场监督管理部门将依法向社会公开行政处罚决定信息）</w:t>
      </w:r>
      <w:r>
        <w:rPr>
          <w:rFonts w:hint="eastAsia" w:ascii="仿宋_GB2312" w:hAnsi="仿宋_GB2312" w:eastAsia="仿宋_GB2312" w:cs="仿宋_GB2312"/>
          <w:color w:val="000000"/>
          <w:sz w:val="32"/>
          <w:szCs w:val="32"/>
        </w:rPr>
        <w:t xml:space="preserve">    </w:t>
      </w:r>
    </w:p>
    <w:p>
      <w:pPr>
        <w:keepNext w:val="0"/>
        <w:keepLines w:val="0"/>
        <w:pageBreakBefore w:val="0"/>
        <w:widowControl w:val="0"/>
        <w:kinsoku/>
        <w:wordWrap/>
        <w:overflowPunct/>
        <w:topLinePunct w:val="0"/>
        <w:bidi w:val="0"/>
        <w:snapToGrid/>
        <w:spacing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仿宋_GB2312" w:hAnsi="仿宋_GB2312" w:eastAsia="仿宋_GB2312" w:cs="仿宋_GB2312"/>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仿宋_GB2312" w:hAnsi="仿宋_GB2312" w:eastAsia="仿宋_GB2312" w:cs="仿宋_GB2312"/>
          <w:color w:val="000000"/>
          <w:sz w:val="32"/>
          <w:szCs w:val="32"/>
        </w:rPr>
        <w:t>本文书一式</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四</w:t>
      </w:r>
      <w:r>
        <w:rPr>
          <w:rFonts w:hint="eastAsia" w:ascii="仿宋_GB2312" w:hAnsi="仿宋_GB2312" w:eastAsia="仿宋_GB2312" w:cs="仿宋_GB2312"/>
          <w:color w:val="000000"/>
          <w:sz w:val="32"/>
          <w:szCs w:val="32"/>
        </w:rPr>
        <w:t>份，</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一</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份送达，</w:t>
      </w:r>
      <w:r>
        <w:rPr>
          <w:rFonts w:hint="eastAsia" w:ascii="仿宋_GB2312" w:hAnsi="仿宋_GB2312" w:eastAsia="仿宋_GB2312" w:cs="仿宋_GB2312"/>
          <w:color w:val="000000"/>
          <w:sz w:val="32"/>
          <w:szCs w:val="32"/>
          <w:u w:val="single"/>
          <w:lang w:eastAsia="zh-CN"/>
        </w:rPr>
        <w:t>三</w:t>
      </w:r>
      <w:r>
        <w:rPr>
          <w:rFonts w:hint="eastAsia" w:ascii="仿宋_GB2312" w:hAnsi="仿宋_GB2312" w:eastAsia="仿宋_GB2312" w:cs="仿宋_GB2312"/>
          <w:color w:val="000000"/>
          <w:sz w:val="32"/>
          <w:szCs w:val="32"/>
        </w:rPr>
        <w:t>份归档。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19C8581D"/>
    <w:rsid w:val="011671E7"/>
    <w:rsid w:val="07027CB2"/>
    <w:rsid w:val="080B022F"/>
    <w:rsid w:val="088550DF"/>
    <w:rsid w:val="0A56459C"/>
    <w:rsid w:val="0B9D61FB"/>
    <w:rsid w:val="0C0B1354"/>
    <w:rsid w:val="12003516"/>
    <w:rsid w:val="13FD3CDB"/>
    <w:rsid w:val="14F07C21"/>
    <w:rsid w:val="17B131D4"/>
    <w:rsid w:val="185E4F5D"/>
    <w:rsid w:val="19C8581D"/>
    <w:rsid w:val="1A674B4E"/>
    <w:rsid w:val="23A737DF"/>
    <w:rsid w:val="23D435D7"/>
    <w:rsid w:val="255802FD"/>
    <w:rsid w:val="27F6492F"/>
    <w:rsid w:val="2B986EDF"/>
    <w:rsid w:val="2BEA6AC9"/>
    <w:rsid w:val="2F651E4D"/>
    <w:rsid w:val="33450888"/>
    <w:rsid w:val="380134EA"/>
    <w:rsid w:val="3A4F678F"/>
    <w:rsid w:val="3B5C4D5C"/>
    <w:rsid w:val="3D204412"/>
    <w:rsid w:val="3F390295"/>
    <w:rsid w:val="40801F6B"/>
    <w:rsid w:val="41DB3884"/>
    <w:rsid w:val="444051F9"/>
    <w:rsid w:val="44466C70"/>
    <w:rsid w:val="450E02F6"/>
    <w:rsid w:val="460A7530"/>
    <w:rsid w:val="4D7164F3"/>
    <w:rsid w:val="4DA00E9B"/>
    <w:rsid w:val="521D57C4"/>
    <w:rsid w:val="52D00638"/>
    <w:rsid w:val="52F260FF"/>
    <w:rsid w:val="552B4AC9"/>
    <w:rsid w:val="59262959"/>
    <w:rsid w:val="5A470DD9"/>
    <w:rsid w:val="5B5A3D92"/>
    <w:rsid w:val="5BA853F2"/>
    <w:rsid w:val="5F933EDA"/>
    <w:rsid w:val="62F435E7"/>
    <w:rsid w:val="64D4607B"/>
    <w:rsid w:val="64DB2C7B"/>
    <w:rsid w:val="6598698C"/>
    <w:rsid w:val="68194232"/>
    <w:rsid w:val="6D24429C"/>
    <w:rsid w:val="714F4CEB"/>
    <w:rsid w:val="74BD4884"/>
    <w:rsid w:val="75EE6BF2"/>
    <w:rsid w:val="7858390D"/>
    <w:rsid w:val="7AB57E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Arial Unicode MS" w:hAnsi="Times New Roman" w:eastAsia="Arial Unicode MS"/>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2831</Words>
  <Characters>3117</Characters>
  <Lines>0</Lines>
  <Paragraphs>0</Paragraphs>
  <TotalTime>12</TotalTime>
  <ScaleCrop>false</ScaleCrop>
  <LinksUpToDate>false</LinksUpToDate>
  <CharactersWithSpaces>3478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2025-02-11T04:43:00Z</cp:lastPrinted>
  <dcterms:modified xsi:type="dcterms:W3CDTF">2025-02-25T04:09:48Z</dcterms:modified>
  <dc:title>乌苏市市场监督管理局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E79DE57D6F17470AA817688BB55BB9D1</vt:lpwstr>
  </property>
  <property fmtid="{D5CDD505-2E9C-101B-9397-08002B2CF9AE}" pid="4" name="KSOTemplateDocerSaveRecord">
    <vt:lpwstr>eyJoZGlkIjoiMjhjYjA5MTE5ZDA4NTVkMjc4ZGUyZjQzZWU4NWQ2Y2YiLCJ1c2VySWQiOiI5NTE2MTA2NTAifQ==</vt:lpwstr>
  </property>
</Properties>
</file>