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jc w:val="center"/>
        <w:textAlignment w:val="auto"/>
        <w:rPr>
          <w:rFonts w:hint="eastAsia" w:ascii="楷体_GB2312" w:hAnsi="楷体_GB2312" w:eastAsia="楷体_GB2312" w:cs="楷体_GB2312"/>
          <w:sz w:val="32"/>
          <w:szCs w:val="32"/>
          <w:lang w:val="en-US" w:eastAsia="zh-CN"/>
        </w:rPr>
      </w:pPr>
      <w:r>
        <w:rPr>
          <w:rFonts w:hint="eastAsia" w:ascii="Times New Roman" w:hAnsi="Times New Roman" w:eastAsia="方正小标宋简体" w:cs="方正小标宋简体"/>
          <w:sz w:val="44"/>
          <w:szCs w:val="44"/>
          <w:lang w:val="en-US" w:eastAsia="zh-CN"/>
        </w:rPr>
        <w:t>2024</w:t>
      </w:r>
      <w:r>
        <w:rPr>
          <w:rFonts w:hint="eastAsia" w:ascii="方正小标宋简体" w:hAnsi="方正小标宋简体" w:eastAsia="方正小标宋简体" w:cs="方正小标宋简体"/>
          <w:sz w:val="44"/>
          <w:szCs w:val="44"/>
          <w:lang w:val="en-US" w:eastAsia="zh-CN"/>
        </w:rPr>
        <w:t>年度述法报告</w:t>
      </w:r>
    </w:p>
    <w:p>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jc w:val="center"/>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val="en-US" w:eastAsia="zh-CN"/>
        </w:rPr>
        <w:t>西湖镇党委负责人 常  磊</w:t>
      </w:r>
    </w:p>
    <w:p>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640" w:firstLineChars="200"/>
        <w:jc w:val="both"/>
        <w:textAlignment w:val="auto"/>
        <w:rPr>
          <w:rFonts w:hint="eastAsia" w:ascii="仿宋_GB2312" w:hAnsi="仿宋_GB2312" w:eastAsia="仿宋_GB2312" w:cs="仿宋_GB2312"/>
          <w:sz w:val="32"/>
          <w:szCs w:val="32"/>
          <w:lang w:val="en-US" w:eastAsia="zh-CN"/>
        </w:rPr>
      </w:pPr>
    </w:p>
    <w:p>
      <w:pPr>
        <w:pStyle w:val="4"/>
        <w:keepNext w:val="0"/>
        <w:keepLines w:val="0"/>
        <w:pageBreakBefore w:val="0"/>
        <w:widowControl w:val="0"/>
        <w:suppressLineNumbers w:val="0"/>
        <w:kinsoku/>
        <w:wordWrap/>
        <w:overflowPunct w:val="0"/>
        <w:topLinePunct w:val="0"/>
        <w:autoSpaceDE w:val="0"/>
        <w:autoSpaceDN w:val="0"/>
        <w:bidi w:val="0"/>
        <w:adjustRightInd w:val="0"/>
        <w:snapToGrid w:val="0"/>
        <w:spacing w:beforeAutospacing="0" w:afterAutospacing="0"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根据工作要求，现述法如下：</w:t>
      </w:r>
    </w:p>
    <w:p>
      <w:pPr>
        <w:pStyle w:val="4"/>
        <w:keepNext w:val="0"/>
        <w:keepLines w:val="0"/>
        <w:pageBreakBefore w:val="0"/>
        <w:widowControl w:val="0"/>
        <w:suppressLineNumbers w:val="0"/>
        <w:kinsoku/>
        <w:wordWrap/>
        <w:overflowPunct w:val="0"/>
        <w:topLinePunct w:val="0"/>
        <w:autoSpaceDE w:val="0"/>
        <w:autoSpaceDN w:val="0"/>
        <w:bidi w:val="0"/>
        <w:adjustRightInd w:val="0"/>
        <w:snapToGrid w:val="0"/>
        <w:spacing w:beforeAutospacing="0" w:afterAutospacing="0" w:line="56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一、履职情况</w:t>
      </w:r>
    </w:p>
    <w:p>
      <w:pPr>
        <w:pStyle w:val="4"/>
        <w:keepNext w:val="0"/>
        <w:keepLines w:val="0"/>
        <w:pageBreakBefore w:val="0"/>
        <w:widowControl w:val="0"/>
        <w:suppressLineNumbers w:val="0"/>
        <w:kinsoku/>
        <w:wordWrap/>
        <w:overflowPunct w:val="0"/>
        <w:topLinePunct w:val="0"/>
        <w:autoSpaceDE w:val="0"/>
        <w:autoSpaceDN w:val="0"/>
        <w:bidi w:val="0"/>
        <w:adjustRightInd w:val="0"/>
        <w:snapToGrid w:val="0"/>
        <w:spacing w:beforeAutospacing="0" w:afterAutospacing="0" w:line="560" w:lineRule="exact"/>
        <w:ind w:firstLine="643" w:firstLineChars="200"/>
        <w:jc w:val="both"/>
        <w:textAlignment w:val="auto"/>
        <w:rPr>
          <w:rFonts w:hint="eastAsia" w:ascii="仿宋_GB2312" w:hAnsi="仿宋_GB2312" w:eastAsia="仿宋_GB2312" w:cs="仿宋_GB2312"/>
          <w:kern w:val="0"/>
          <w:sz w:val="32"/>
          <w:szCs w:val="32"/>
          <w:lang w:val="en-US" w:eastAsia="zh-CN" w:bidi="ar"/>
        </w:rPr>
      </w:pP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一</w:t>
      </w: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val="0"/>
          <w:bCs w:val="0"/>
          <w:sz w:val="32"/>
          <w:szCs w:val="32"/>
          <w:lang w:val="en-US" w:eastAsia="zh-CN"/>
        </w:rPr>
        <w:t>提高思想认识，增强理论武装</w:t>
      </w:r>
      <w:r>
        <w:rPr>
          <w:rFonts w:hint="eastAsia" w:ascii="楷体_GB2312" w:hAnsi="楷体_GB2312" w:eastAsia="楷体_GB2312" w:cs="楷体_GB2312"/>
          <w:b/>
          <w:bCs/>
          <w:sz w:val="32"/>
          <w:szCs w:val="32"/>
          <w:lang w:val="en-US" w:eastAsia="zh-CN"/>
        </w:rPr>
        <w:t>。</w:t>
      </w:r>
      <w:r>
        <w:rPr>
          <w:rFonts w:hint="eastAsia" w:ascii="仿宋_GB2312" w:hAnsi="仿宋_GB2312" w:eastAsia="仿宋_GB2312" w:cs="仿宋_GB2312"/>
          <w:b/>
          <w:bCs/>
          <w:kern w:val="0"/>
          <w:sz w:val="32"/>
          <w:szCs w:val="32"/>
          <w:lang w:val="en-US" w:eastAsia="zh-CN" w:bidi="ar"/>
        </w:rPr>
        <w:t>一是</w:t>
      </w:r>
      <w:r>
        <w:rPr>
          <w:rFonts w:hint="eastAsia" w:ascii="仿宋_GB2312" w:hAnsi="仿宋_GB2312" w:eastAsia="仿宋_GB2312" w:cs="仿宋_GB2312"/>
          <w:kern w:val="0"/>
          <w:sz w:val="32"/>
          <w:szCs w:val="32"/>
          <w:lang w:val="en-US" w:eastAsia="zh-CN" w:bidi="ar"/>
        </w:rPr>
        <w:t>深入学习贯彻落实党的二十大及二十届二中、三中全会精神，将习近平法治思想作为党委会“第一议题”重要内容，带头领学习近平法治思想及习近平总书记关于法治建设重要指示精神，强化思想指引。</w:t>
      </w:r>
      <w:r>
        <w:rPr>
          <w:rFonts w:hint="eastAsia" w:ascii="仿宋_GB2312" w:hAnsi="仿宋_GB2312" w:eastAsia="仿宋_GB2312" w:cs="仿宋_GB2312"/>
          <w:b/>
          <w:bCs/>
          <w:kern w:val="0"/>
          <w:sz w:val="32"/>
          <w:szCs w:val="32"/>
          <w:lang w:val="en-US" w:eastAsia="zh-CN" w:bidi="ar"/>
        </w:rPr>
        <w:t>二是</w:t>
      </w:r>
      <w:r>
        <w:rPr>
          <w:rFonts w:hint="eastAsia" w:ascii="仿宋_GB2312" w:hAnsi="仿宋_GB2312" w:eastAsia="仿宋_GB2312" w:cs="仿宋_GB2312"/>
          <w:kern w:val="0"/>
          <w:sz w:val="32"/>
          <w:szCs w:val="32"/>
          <w:lang w:val="en-US" w:eastAsia="zh-CN" w:bidi="ar"/>
        </w:rPr>
        <w:t>采取党委会、党委理论学习中心组、自学、专题学习等形式，常态学习《中华人民共和国宪法》《中华人民共和国民法典》《信访工作条例》《纪律处分条例》等法律条例，推进学习型党组织、学习型班子建设。带头参加“法治讲堂·逢九必讲”法治培训，面向全体党员干部开展习近平法治思想专题授课</w:t>
      </w:r>
      <w:r>
        <w:rPr>
          <w:rFonts w:hint="eastAsia" w:ascii="Times New Roman" w:hAnsi="Times New Roman" w:eastAsia="仿宋_GB2312" w:cs="仿宋_GB2312"/>
          <w:kern w:val="0"/>
          <w:sz w:val="32"/>
          <w:szCs w:val="32"/>
          <w:lang w:val="en-US" w:eastAsia="zh-CN" w:bidi="ar"/>
        </w:rPr>
        <w:t>2</w:t>
      </w:r>
      <w:r>
        <w:rPr>
          <w:rFonts w:hint="eastAsia" w:ascii="仿宋_GB2312" w:hAnsi="仿宋_GB2312" w:eastAsia="仿宋_GB2312" w:cs="仿宋_GB2312"/>
          <w:kern w:val="0"/>
          <w:sz w:val="32"/>
          <w:szCs w:val="32"/>
          <w:lang w:val="en-US" w:eastAsia="zh-CN" w:bidi="ar"/>
        </w:rPr>
        <w:t>场</w:t>
      </w:r>
      <w:r>
        <w:rPr>
          <w:rFonts w:hint="eastAsia" w:ascii="Times New Roman" w:hAnsi="Times New Roman" w:eastAsia="仿宋_GB2312" w:cs="仿宋_GB2312"/>
          <w:kern w:val="0"/>
          <w:sz w:val="32"/>
          <w:szCs w:val="32"/>
          <w:lang w:val="en-US" w:eastAsia="zh-CN" w:bidi="ar"/>
        </w:rPr>
        <w:t>（</w:t>
      </w:r>
      <w:r>
        <w:rPr>
          <w:rFonts w:hint="eastAsia" w:ascii="仿宋_GB2312" w:hAnsi="仿宋_GB2312" w:eastAsia="仿宋_GB2312" w:cs="仿宋_GB2312"/>
          <w:kern w:val="0"/>
          <w:sz w:val="32"/>
          <w:szCs w:val="32"/>
          <w:lang w:val="en-US" w:eastAsia="zh-CN" w:bidi="ar"/>
        </w:rPr>
        <w:t>次</w:t>
      </w:r>
      <w:r>
        <w:rPr>
          <w:rFonts w:hint="eastAsia" w:ascii="Times New Roman" w:hAnsi="Times New Roman" w:eastAsia="仿宋_GB2312" w:cs="仿宋_GB2312"/>
          <w:kern w:val="0"/>
          <w:sz w:val="32"/>
          <w:szCs w:val="32"/>
          <w:lang w:val="en-US" w:eastAsia="zh-CN" w:bidi="ar"/>
        </w:rPr>
        <w:t>）</w:t>
      </w:r>
      <w:r>
        <w:rPr>
          <w:rFonts w:hint="eastAsia" w:ascii="仿宋_GB2312" w:hAnsi="仿宋_GB2312" w:eastAsia="仿宋_GB2312" w:cs="仿宋_GB2312"/>
          <w:kern w:val="0"/>
          <w:sz w:val="32"/>
          <w:szCs w:val="32"/>
          <w:lang w:val="en-US" w:eastAsia="zh-CN" w:bidi="ar"/>
        </w:rPr>
        <w:t>。</w:t>
      </w:r>
      <w:r>
        <w:rPr>
          <w:rFonts w:hint="eastAsia" w:ascii="仿宋_GB2312" w:hAnsi="仿宋_GB2312" w:eastAsia="仿宋_GB2312" w:cs="仿宋_GB2312"/>
          <w:b/>
          <w:bCs/>
          <w:kern w:val="0"/>
          <w:sz w:val="32"/>
          <w:szCs w:val="32"/>
          <w:lang w:val="en-US" w:eastAsia="zh-CN" w:bidi="ar"/>
        </w:rPr>
        <w:t>三是</w:t>
      </w:r>
      <w:r>
        <w:rPr>
          <w:rFonts w:hint="eastAsia" w:ascii="仿宋_GB2312" w:hAnsi="仿宋_GB2312" w:eastAsia="仿宋_GB2312" w:cs="仿宋_GB2312"/>
          <w:kern w:val="0"/>
          <w:sz w:val="32"/>
          <w:szCs w:val="32"/>
          <w:lang w:val="en-US" w:eastAsia="zh-CN" w:bidi="ar"/>
        </w:rPr>
        <w:t>对“关键队伍”常抓不懈，注重村“两委”干部培育工程，切实提高村干部运用法治思维和法治方式解决问题能力，夯实治理根基。今年以来，组织党员干部学习法律法规</w:t>
      </w:r>
      <w:r>
        <w:rPr>
          <w:rFonts w:hint="eastAsia" w:ascii="Times New Roman" w:hAnsi="Times New Roman" w:eastAsia="仿宋_GB2312" w:cs="仿宋_GB2312"/>
          <w:kern w:val="0"/>
          <w:sz w:val="32"/>
          <w:szCs w:val="32"/>
          <w:lang w:val="en-US" w:eastAsia="zh-CN" w:bidi="ar"/>
        </w:rPr>
        <w:t>21</w:t>
      </w:r>
      <w:r>
        <w:rPr>
          <w:rFonts w:hint="eastAsia" w:ascii="仿宋_GB2312" w:hAnsi="仿宋_GB2312" w:eastAsia="仿宋_GB2312" w:cs="仿宋_GB2312"/>
          <w:kern w:val="0"/>
          <w:sz w:val="32"/>
          <w:szCs w:val="32"/>
          <w:lang w:val="en-US" w:eastAsia="zh-CN" w:bidi="ar"/>
        </w:rPr>
        <w:t>次，观看警示教育片</w:t>
      </w:r>
      <w:r>
        <w:rPr>
          <w:rFonts w:hint="eastAsia" w:ascii="Times New Roman" w:hAnsi="Times New Roman" w:eastAsia="仿宋_GB2312" w:cs="仿宋_GB2312"/>
          <w:kern w:val="0"/>
          <w:sz w:val="32"/>
          <w:szCs w:val="32"/>
          <w:lang w:val="en-US" w:eastAsia="zh-CN" w:bidi="ar"/>
        </w:rPr>
        <w:t>4</w:t>
      </w:r>
      <w:r>
        <w:rPr>
          <w:rFonts w:hint="eastAsia" w:ascii="仿宋_GB2312" w:hAnsi="仿宋_GB2312" w:eastAsia="仿宋_GB2312" w:cs="仿宋_GB2312"/>
          <w:kern w:val="0"/>
          <w:sz w:val="32"/>
          <w:szCs w:val="32"/>
          <w:lang w:val="en-US" w:eastAsia="zh-CN" w:bidi="ar"/>
        </w:rPr>
        <w:t>次，开展学法考试</w:t>
      </w:r>
      <w:r>
        <w:rPr>
          <w:rFonts w:hint="eastAsia" w:ascii="Times New Roman" w:hAnsi="Times New Roman" w:eastAsia="仿宋_GB2312" w:cs="仿宋_GB2312"/>
          <w:kern w:val="0"/>
          <w:sz w:val="32"/>
          <w:szCs w:val="32"/>
          <w:lang w:val="en-US" w:eastAsia="zh-CN" w:bidi="ar"/>
        </w:rPr>
        <w:t>2</w:t>
      </w:r>
      <w:r>
        <w:rPr>
          <w:rFonts w:hint="eastAsia" w:ascii="仿宋_GB2312" w:hAnsi="仿宋_GB2312" w:eastAsia="仿宋_GB2312" w:cs="仿宋_GB2312"/>
          <w:kern w:val="0"/>
          <w:sz w:val="32"/>
          <w:szCs w:val="32"/>
          <w:lang w:val="en-US" w:eastAsia="zh-CN" w:bidi="ar"/>
        </w:rPr>
        <w:t>场（次）。</w:t>
      </w:r>
    </w:p>
    <w:p>
      <w:pPr>
        <w:pStyle w:val="4"/>
        <w:keepNext w:val="0"/>
        <w:keepLines w:val="0"/>
        <w:pageBreakBefore w:val="0"/>
        <w:widowControl w:val="0"/>
        <w:suppressLineNumbers w:val="0"/>
        <w:kinsoku/>
        <w:wordWrap/>
        <w:overflowPunct w:val="0"/>
        <w:topLinePunct w:val="0"/>
        <w:autoSpaceDE w:val="0"/>
        <w:autoSpaceDN w:val="0"/>
        <w:bidi w:val="0"/>
        <w:adjustRightInd w:val="0"/>
        <w:snapToGrid w:val="0"/>
        <w:spacing w:beforeAutospacing="0" w:afterAutospacing="0" w:line="560" w:lineRule="exact"/>
        <w:ind w:lef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强化组织领导，规范制度建设。</w:t>
      </w:r>
      <w:r>
        <w:rPr>
          <w:rFonts w:hint="eastAsia" w:ascii="仿宋_GB2312" w:hAnsi="仿宋_GB2312" w:eastAsia="仿宋_GB2312" w:cs="仿宋_GB2312"/>
          <w:b/>
          <w:bCs/>
          <w:color w:val="auto"/>
          <w:sz w:val="32"/>
          <w:szCs w:val="32"/>
          <w:lang w:val="en-US" w:eastAsia="zh-CN"/>
        </w:rPr>
        <w:t>一是</w:t>
      </w:r>
      <w:r>
        <w:rPr>
          <w:rFonts w:hint="eastAsia" w:ascii="仿宋_GB2312" w:hAnsi="仿宋_GB2312" w:eastAsia="仿宋_GB2312" w:cs="仿宋_GB2312"/>
          <w:color w:val="auto"/>
          <w:sz w:val="32"/>
          <w:szCs w:val="32"/>
          <w:lang w:val="en-US" w:eastAsia="zh-CN"/>
        </w:rPr>
        <w:t>完善组织机构，</w:t>
      </w:r>
      <w:r>
        <w:rPr>
          <w:rFonts w:hint="eastAsia" w:ascii="仿宋_GB2312" w:hAnsi="仿宋_GB2312" w:eastAsia="仿宋_GB2312" w:cs="仿宋_GB2312"/>
          <w:kern w:val="0"/>
          <w:sz w:val="32"/>
          <w:szCs w:val="32"/>
          <w:lang w:val="en-US" w:eastAsia="zh-CN" w:bidi="ar"/>
        </w:rPr>
        <w:t>研究调整全面依法治镇委员会成员及工作小组，将法治建设作为重要政治任务纳入经济和社会发展全局规划，</w:t>
      </w:r>
      <w:r>
        <w:rPr>
          <w:rFonts w:hint="eastAsia" w:ascii="仿宋_GB2312" w:hAnsi="仿宋_GB2312" w:eastAsia="仿宋_GB2312" w:cs="仿宋_GB2312"/>
          <w:sz w:val="32"/>
          <w:szCs w:val="32"/>
          <w:lang w:val="en-US" w:eastAsia="zh-CN"/>
        </w:rPr>
        <w:t>做到与各项重点任务</w:t>
      </w:r>
      <w:r>
        <w:rPr>
          <w:rFonts w:hint="eastAsia" w:ascii="仿宋_GB2312" w:hAnsi="仿宋_GB2312" w:eastAsia="仿宋_GB2312" w:cs="仿宋_GB2312"/>
          <w:sz w:val="32"/>
          <w:szCs w:val="32"/>
        </w:rPr>
        <w:t>同部署、同推进、同督促、同考核、同奖惩</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bCs/>
          <w:kern w:val="0"/>
          <w:sz w:val="32"/>
          <w:szCs w:val="32"/>
          <w:lang w:val="en-US" w:eastAsia="zh-CN" w:bidi="ar"/>
        </w:rPr>
        <w:t>二是</w:t>
      </w:r>
      <w:r>
        <w:rPr>
          <w:rFonts w:hint="eastAsia" w:ascii="仿宋_GB2312" w:hAnsi="仿宋_GB2312" w:eastAsia="仿宋_GB2312" w:cs="仿宋_GB2312"/>
          <w:color w:val="auto"/>
          <w:sz w:val="32"/>
          <w:szCs w:val="32"/>
          <w:lang w:val="en-US" w:eastAsia="zh-CN"/>
        </w:rPr>
        <w:t>研究建立《法治建设第一责任人职责清单》，细化清单事项，有效提升乡村两级党员干部掌握法治建设抓什么，提升法治建设工作怎么抓能力水平。今年以来，召开党委会研究法治建设工作</w:t>
      </w:r>
      <w:r>
        <w:rPr>
          <w:rFonts w:hint="eastAsia" w:ascii="Times New Roman" w:hAnsi="Times New Roman" w:eastAsia="仿宋_GB2312" w:cs="仿宋_GB2312"/>
          <w:color w:val="auto"/>
          <w:sz w:val="32"/>
          <w:szCs w:val="32"/>
          <w:lang w:val="en-US" w:eastAsia="zh-CN"/>
        </w:rPr>
        <w:t>5</w:t>
      </w:r>
      <w:r>
        <w:rPr>
          <w:rFonts w:hint="eastAsia" w:ascii="仿宋_GB2312" w:hAnsi="仿宋_GB2312" w:eastAsia="仿宋_GB2312" w:cs="仿宋_GB2312"/>
          <w:color w:val="auto"/>
          <w:sz w:val="32"/>
          <w:szCs w:val="32"/>
          <w:lang w:val="en-US" w:eastAsia="zh-CN"/>
        </w:rPr>
        <w:t>次，定期对法治建设“一规划两纲要”推进情况实施评估，确保</w:t>
      </w:r>
      <w:r>
        <w:rPr>
          <w:rFonts w:hint="eastAsia" w:ascii="Times New Roman" w:hAnsi="Times New Roman" w:eastAsia="仿宋_GB2312" w:cs="仿宋_GB2312"/>
          <w:color w:val="auto"/>
          <w:sz w:val="32"/>
          <w:szCs w:val="32"/>
          <w:lang w:val="en-US" w:eastAsia="zh-CN"/>
        </w:rPr>
        <w:t>2025</w:t>
      </w:r>
      <w:r>
        <w:rPr>
          <w:rFonts w:hint="eastAsia" w:ascii="仿宋_GB2312" w:hAnsi="仿宋_GB2312" w:eastAsia="仿宋_GB2312" w:cs="仿宋_GB2312"/>
          <w:color w:val="auto"/>
          <w:sz w:val="32"/>
          <w:szCs w:val="32"/>
          <w:lang w:val="en-US" w:eastAsia="zh-CN"/>
        </w:rPr>
        <w:t>年终期验收前任务进度达到</w:t>
      </w:r>
      <w:r>
        <w:rPr>
          <w:rFonts w:hint="eastAsia" w:ascii="Times New Roman" w:hAnsi="Times New Roman" w:eastAsia="仿宋_GB2312" w:cs="仿宋_GB2312"/>
          <w:color w:val="auto"/>
          <w:sz w:val="32"/>
          <w:szCs w:val="32"/>
          <w:lang w:val="en-US" w:eastAsia="zh-CN"/>
        </w:rPr>
        <w:t>100</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b/>
          <w:bCs/>
          <w:color w:val="auto"/>
          <w:sz w:val="32"/>
          <w:szCs w:val="32"/>
          <w:lang w:val="en-US" w:eastAsia="zh-CN"/>
        </w:rPr>
        <w:t>三是</w:t>
      </w:r>
      <w:r>
        <w:rPr>
          <w:rFonts w:hint="eastAsia" w:ascii="仿宋_GB2312" w:hAnsi="仿宋_GB2312" w:eastAsia="仿宋_GB2312" w:cs="仿宋_GB2312"/>
          <w:color w:val="auto"/>
          <w:sz w:val="32"/>
          <w:szCs w:val="32"/>
          <w:lang w:val="en-US" w:eastAsia="zh-CN"/>
        </w:rPr>
        <w:t>严格落实“三重一大”制度和“一把手”末位表态制度，做到重大决策、重要事项、重大项目安排、大额资金使用等，在充分讨论的基础上，按照少数服从多数原则，实行民主集中制，形成科学决策结果。不断完善运行财经管理制度，积极推进债务化解进度。</w:t>
      </w:r>
      <w:r>
        <w:rPr>
          <w:rFonts w:hint="eastAsia" w:ascii="仿宋_GB2312" w:eastAsia="仿宋_GB2312"/>
          <w:b/>
          <w:bCs/>
          <w:color w:val="auto"/>
          <w:spacing w:val="-6"/>
          <w:sz w:val="32"/>
          <w:szCs w:val="32"/>
          <w:highlight w:val="none"/>
          <w:lang w:val="en-US" w:eastAsia="zh-CN"/>
        </w:rPr>
        <w:t>四是</w:t>
      </w:r>
      <w:r>
        <w:rPr>
          <w:rFonts w:hint="eastAsia" w:ascii="仿宋_GB2312" w:eastAsia="仿宋_GB2312"/>
          <w:b w:val="0"/>
          <w:bCs w:val="0"/>
          <w:color w:val="auto"/>
          <w:spacing w:val="-6"/>
          <w:sz w:val="32"/>
          <w:szCs w:val="32"/>
          <w:highlight w:val="none"/>
          <w:lang w:val="en-US" w:eastAsia="zh-CN"/>
        </w:rPr>
        <w:t>优化法律顾问工作制度。根据工作实际，重新制定法律顾问服务费规则，采取重点村顾问费用包干、其余村按次计费的方式，合理制定费用收取标准，减轻基层财政负担。</w:t>
      </w:r>
      <w:r>
        <w:rPr>
          <w:rFonts w:hint="eastAsia" w:ascii="仿宋_GB2312" w:eastAsia="仿宋_GB2312"/>
          <w:color w:val="auto"/>
          <w:spacing w:val="-6"/>
          <w:sz w:val="32"/>
          <w:szCs w:val="32"/>
          <w:highlight w:val="none"/>
          <w:lang w:val="en-US" w:eastAsia="zh-CN"/>
        </w:rPr>
        <w:t>充分发挥法律顾问职能作用，积极邀请法律顾问参与法治化营商环境建设工作。今年共组织法律顾问对辖区企业开展法治体检</w:t>
      </w:r>
      <w:r>
        <w:rPr>
          <w:rFonts w:hint="eastAsia" w:ascii="Times New Roman" w:hAnsi="Times New Roman" w:eastAsia="仿宋_GB2312"/>
          <w:color w:val="auto"/>
          <w:spacing w:val="-6"/>
          <w:sz w:val="32"/>
          <w:szCs w:val="32"/>
          <w:highlight w:val="none"/>
          <w:lang w:val="en-US" w:eastAsia="zh-CN"/>
        </w:rPr>
        <w:t>6</w:t>
      </w:r>
      <w:r>
        <w:rPr>
          <w:rFonts w:hint="eastAsia" w:ascii="仿宋_GB2312" w:eastAsia="仿宋_GB2312"/>
          <w:color w:val="auto"/>
          <w:spacing w:val="-6"/>
          <w:sz w:val="32"/>
          <w:szCs w:val="32"/>
          <w:highlight w:val="none"/>
          <w:lang w:val="en-US" w:eastAsia="zh-CN"/>
        </w:rPr>
        <w:t>（场）次，为企业主提供经营建议</w:t>
      </w:r>
      <w:r>
        <w:rPr>
          <w:rFonts w:hint="eastAsia" w:ascii="Times New Roman" w:hAnsi="Times New Roman" w:eastAsia="仿宋_GB2312"/>
          <w:color w:val="auto"/>
          <w:spacing w:val="-6"/>
          <w:sz w:val="32"/>
          <w:szCs w:val="32"/>
          <w:highlight w:val="none"/>
          <w:lang w:val="en-US" w:eastAsia="zh-CN"/>
        </w:rPr>
        <w:t>4</w:t>
      </w:r>
      <w:r>
        <w:rPr>
          <w:rFonts w:hint="eastAsia" w:ascii="仿宋_GB2312" w:eastAsia="仿宋_GB2312"/>
          <w:color w:val="auto"/>
          <w:spacing w:val="-6"/>
          <w:sz w:val="32"/>
          <w:szCs w:val="32"/>
          <w:highlight w:val="none"/>
          <w:lang w:val="en-US" w:eastAsia="zh-CN"/>
        </w:rPr>
        <w:t>条。</w:t>
      </w:r>
    </w:p>
    <w:p>
      <w:pPr>
        <w:pStyle w:val="4"/>
        <w:keepNext w:val="0"/>
        <w:keepLines w:val="0"/>
        <w:pageBreakBefore w:val="0"/>
        <w:widowControl w:val="0"/>
        <w:suppressLineNumbers w:val="0"/>
        <w:kinsoku/>
        <w:wordWrap/>
        <w:overflowPunct w:val="0"/>
        <w:topLinePunct w:val="0"/>
        <w:autoSpaceDE w:val="0"/>
        <w:autoSpaceDN w:val="0"/>
        <w:bidi w:val="0"/>
        <w:adjustRightInd w:val="0"/>
        <w:snapToGrid w:val="0"/>
        <w:spacing w:beforeAutospacing="0" w:afterAutospacing="0" w:line="560" w:lineRule="exact"/>
        <w:ind w:lef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b w:val="0"/>
          <w:bCs w:val="0"/>
          <w:sz w:val="32"/>
          <w:szCs w:val="32"/>
          <w:lang w:val="en-US" w:eastAsia="zh-CN"/>
        </w:rPr>
        <w:t>（三）抓牢任务重点，推进有效落实。</w:t>
      </w:r>
      <w:r>
        <w:rPr>
          <w:rFonts w:hint="eastAsia" w:ascii="仿宋_GB2312" w:hAnsi="仿宋_GB2312" w:eastAsia="仿宋_GB2312" w:cs="仿宋_GB2312"/>
          <w:b/>
          <w:bCs/>
          <w:color w:val="auto"/>
          <w:sz w:val="32"/>
          <w:szCs w:val="32"/>
          <w:lang w:val="en-US" w:eastAsia="zh-CN"/>
        </w:rPr>
        <w:t>一是</w:t>
      </w:r>
      <w:r>
        <w:rPr>
          <w:rFonts w:hint="eastAsia" w:ascii="仿宋_GB2312" w:hAnsi="仿宋_GB2312" w:eastAsia="仿宋_GB2312" w:cs="仿宋_GB2312"/>
          <w:color w:val="auto"/>
          <w:sz w:val="32"/>
          <w:szCs w:val="32"/>
          <w:lang w:val="en-US" w:eastAsia="zh-CN"/>
        </w:rPr>
        <w:t>落实党对人大工作的全面领导，做好阵地建设，大力支持本级人大、政府依法依章程履行职能、开展工作。先后投入资金</w:t>
      </w:r>
      <w:r>
        <w:rPr>
          <w:rFonts w:hint="eastAsia" w:ascii="Times New Roman" w:hAnsi="Times New Roman" w:eastAsia="仿宋_GB2312" w:cs="仿宋_GB2312"/>
          <w:color w:val="auto"/>
          <w:sz w:val="32"/>
          <w:szCs w:val="32"/>
          <w:lang w:val="en-US" w:eastAsia="zh-CN"/>
        </w:rPr>
        <w:t>6</w:t>
      </w:r>
      <w:r>
        <w:rPr>
          <w:rFonts w:hint="eastAsia" w:ascii="仿宋_GB2312" w:hAnsi="仿宋_GB2312" w:eastAsia="仿宋_GB2312" w:cs="仿宋_GB2312"/>
          <w:color w:val="auto"/>
          <w:sz w:val="32"/>
          <w:szCs w:val="32"/>
          <w:lang w:val="en-US" w:eastAsia="zh-CN"/>
        </w:rPr>
        <w:t>万余元在全镇行政村建成高标准人大代表联络站</w:t>
      </w:r>
      <w:r>
        <w:rPr>
          <w:rFonts w:hint="eastAsia" w:ascii="Times New Roman" w:hAnsi="Times New Roman" w:eastAsia="仿宋_GB2312" w:cs="仿宋_GB2312"/>
          <w:color w:val="auto"/>
          <w:sz w:val="32"/>
          <w:szCs w:val="32"/>
          <w:lang w:val="en-US" w:eastAsia="zh-CN"/>
        </w:rPr>
        <w:t>9</w:t>
      </w:r>
      <w:r>
        <w:rPr>
          <w:rFonts w:hint="eastAsia" w:ascii="仿宋_GB2312" w:hAnsi="仿宋_GB2312" w:eastAsia="仿宋_GB2312" w:cs="仿宋_GB2312"/>
          <w:color w:val="auto"/>
          <w:sz w:val="32"/>
          <w:szCs w:val="32"/>
          <w:lang w:val="en-US" w:eastAsia="zh-CN"/>
        </w:rPr>
        <w:t>个，实现人大代表履职服务阵地全覆盖。带头参加每月“相约</w:t>
      </w:r>
      <w:r>
        <w:rPr>
          <w:rFonts w:hint="eastAsia" w:ascii="Times New Roman" w:hAnsi="Times New Roman" w:eastAsia="仿宋_GB2312" w:cs="仿宋_GB2312"/>
          <w:color w:val="auto"/>
          <w:sz w:val="32"/>
          <w:szCs w:val="32"/>
          <w:lang w:val="en-US" w:eastAsia="zh-CN"/>
        </w:rPr>
        <w:t>23</w:t>
      </w:r>
      <w:r>
        <w:rPr>
          <w:rFonts w:hint="eastAsia" w:ascii="仿宋_GB2312" w:hAnsi="仿宋_GB2312" w:eastAsia="仿宋_GB2312" w:cs="仿宋_GB2312"/>
          <w:color w:val="auto"/>
          <w:sz w:val="32"/>
          <w:szCs w:val="32"/>
          <w:lang w:val="en-US" w:eastAsia="zh-CN"/>
        </w:rPr>
        <w:t>”活动，认真倾听人大代表意见建议，主动接受人大代表及群众监督，认真办理人大代表议案建议70余件。</w:t>
      </w:r>
      <w:r>
        <w:rPr>
          <w:rFonts w:hint="eastAsia" w:ascii="仿宋_GB2312" w:hAnsi="仿宋_GB2312" w:eastAsia="仿宋_GB2312" w:cs="仿宋_GB2312"/>
          <w:b/>
          <w:bCs/>
          <w:color w:val="auto"/>
          <w:sz w:val="32"/>
          <w:szCs w:val="32"/>
          <w:lang w:val="en-US" w:eastAsia="zh-CN"/>
        </w:rPr>
        <w:t>二是</w:t>
      </w:r>
      <w:r>
        <w:rPr>
          <w:rFonts w:hint="eastAsia" w:ascii="仿宋_GB2312" w:hAnsi="仿宋_GB2312" w:eastAsia="仿宋_GB2312" w:cs="仿宋_GB2312"/>
          <w:color w:val="auto"/>
          <w:sz w:val="32"/>
          <w:szCs w:val="32"/>
          <w:lang w:val="en-US" w:eastAsia="zh-CN"/>
        </w:rPr>
        <w:t>严格落实基层减负，把树牢正确政绩观作为源头工程，不断提高运用法治思维和法治方式深化改革和推动发展的能力，大力整治形式主义，持续转变工作作风，科学践行正确政绩观，全面推进“三个清单”梳理落实，切实减负松绑和赋能增效，推动基层减负落地落实。</w:t>
      </w:r>
      <w:r>
        <w:rPr>
          <w:rFonts w:hint="eastAsia" w:ascii="仿宋_GB2312" w:hAnsi="仿宋_GB2312" w:eastAsia="仿宋_GB2312" w:cs="仿宋_GB2312"/>
          <w:b/>
          <w:bCs/>
          <w:color w:val="auto"/>
          <w:sz w:val="32"/>
          <w:szCs w:val="32"/>
          <w:lang w:val="en-US" w:eastAsia="zh-CN"/>
        </w:rPr>
        <w:t>三是</w:t>
      </w:r>
      <w:r>
        <w:rPr>
          <w:rFonts w:hint="eastAsia" w:ascii="仿宋_GB2312" w:hAnsi="仿宋_GB2312" w:eastAsia="仿宋_GB2312" w:cs="仿宋_GB2312"/>
          <w:color w:val="auto"/>
          <w:sz w:val="32"/>
          <w:szCs w:val="32"/>
          <w:lang w:val="en-US" w:eastAsia="zh-CN"/>
        </w:rPr>
        <w:t>扎实开展“群众身边不正之风和腐败问题集中整治”，深入开展党纪学习教育，与班子成员开展谈心谈话</w:t>
      </w:r>
      <w:r>
        <w:rPr>
          <w:rFonts w:hint="eastAsia" w:ascii="Times New Roman" w:hAnsi="Times New Roman" w:eastAsia="仿宋_GB2312" w:cs="仿宋_GB2312"/>
          <w:color w:val="auto"/>
          <w:sz w:val="32"/>
          <w:szCs w:val="32"/>
          <w:lang w:val="en-US" w:eastAsia="zh-CN"/>
        </w:rPr>
        <w:t>9</w:t>
      </w:r>
      <w:r>
        <w:rPr>
          <w:rFonts w:hint="eastAsia" w:ascii="仿宋_GB2312" w:hAnsi="仿宋_GB2312" w:eastAsia="仿宋_GB2312" w:cs="仿宋_GB2312"/>
          <w:color w:val="auto"/>
          <w:sz w:val="32"/>
          <w:szCs w:val="32"/>
          <w:lang w:val="en-US" w:eastAsia="zh-CN"/>
        </w:rPr>
        <w:t>次，监督和提醒班子成员依法办事。将“依法治理好”作为“五好”党支部重要评判标准，</w:t>
      </w:r>
      <w:r>
        <w:rPr>
          <w:rFonts w:hint="eastAsia" w:ascii="仿宋_GB2312" w:eastAsia="仿宋_GB2312"/>
          <w:color w:val="auto"/>
          <w:spacing w:val="-6"/>
          <w:sz w:val="32"/>
          <w:szCs w:val="32"/>
          <w:highlight w:val="none"/>
          <w:lang w:val="en-US" w:eastAsia="zh-CN"/>
        </w:rPr>
        <w:t>通过日常监督检查，及时纠正问题整改。</w:t>
      </w:r>
      <w:r>
        <w:rPr>
          <w:rFonts w:hint="eastAsia" w:ascii="仿宋_GB2312" w:eastAsia="仿宋_GB2312"/>
          <w:b/>
          <w:bCs/>
          <w:color w:val="auto"/>
          <w:spacing w:val="-6"/>
          <w:sz w:val="32"/>
          <w:szCs w:val="32"/>
          <w:highlight w:val="none"/>
          <w:lang w:val="en-US" w:eastAsia="zh-CN"/>
        </w:rPr>
        <w:t>四是</w:t>
      </w:r>
      <w:r>
        <w:rPr>
          <w:rFonts w:hint="eastAsia" w:ascii="仿宋_GB2312" w:eastAsia="仿宋_GB2312"/>
          <w:b w:val="0"/>
          <w:bCs w:val="0"/>
          <w:color w:val="auto"/>
          <w:spacing w:val="-6"/>
          <w:sz w:val="32"/>
          <w:szCs w:val="32"/>
          <w:highlight w:val="none"/>
          <w:lang w:val="en-US" w:eastAsia="zh-CN"/>
        </w:rPr>
        <w:t>高标准落实整改。</w:t>
      </w:r>
      <w:r>
        <w:rPr>
          <w:rFonts w:hint="eastAsia" w:ascii="仿宋_GB2312" w:hAnsi="仿宋_GB2312" w:eastAsia="仿宋_GB2312" w:cs="仿宋_GB2312"/>
          <w:color w:val="auto"/>
          <w:sz w:val="32"/>
          <w:szCs w:val="32"/>
          <w:lang w:val="en-US" w:eastAsia="zh-CN"/>
        </w:rPr>
        <w:t>地委第三巡察组反馈的“依法治疆”方面存在问题，现已整改完毕</w:t>
      </w:r>
      <w:r>
        <w:rPr>
          <w:rFonts w:hint="default"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lang w:val="en-US" w:eastAsia="zh-CN"/>
        </w:rPr>
        <w:t>对自治区、</w:t>
      </w:r>
      <w:r>
        <w:rPr>
          <w:rFonts w:hint="default" w:ascii="仿宋_GB2312" w:hAnsi="仿宋_GB2312" w:eastAsia="仿宋_GB2312" w:cs="仿宋_GB2312"/>
          <w:color w:val="auto"/>
          <w:sz w:val="32"/>
          <w:szCs w:val="32"/>
          <w:lang w:val="en-US" w:eastAsia="zh-CN"/>
        </w:rPr>
        <w:t>地区</w:t>
      </w:r>
      <w:r>
        <w:rPr>
          <w:rFonts w:hint="eastAsia" w:ascii="仿宋_GB2312" w:hAnsi="仿宋_GB2312" w:eastAsia="仿宋_GB2312" w:cs="仿宋_GB2312"/>
          <w:color w:val="auto"/>
          <w:sz w:val="32"/>
          <w:szCs w:val="32"/>
          <w:lang w:val="en-US" w:eastAsia="zh-CN"/>
        </w:rPr>
        <w:t>以及</w:t>
      </w:r>
      <w:r>
        <w:rPr>
          <w:rFonts w:hint="default" w:ascii="仿宋_GB2312" w:hAnsi="仿宋_GB2312" w:eastAsia="仿宋_GB2312" w:cs="仿宋_GB2312"/>
          <w:color w:val="auto"/>
          <w:sz w:val="32"/>
          <w:szCs w:val="32"/>
          <w:lang w:val="en-US" w:eastAsia="zh-CN"/>
        </w:rPr>
        <w:t>乌苏市法治督查提出的</w:t>
      </w:r>
      <w:r>
        <w:rPr>
          <w:rFonts w:hint="eastAsia" w:ascii="仿宋_GB2312" w:hAnsi="仿宋_GB2312" w:eastAsia="仿宋_GB2312" w:cs="仿宋_GB2312"/>
          <w:color w:val="auto"/>
          <w:sz w:val="32"/>
          <w:szCs w:val="32"/>
          <w:lang w:val="en-US" w:eastAsia="zh-CN"/>
        </w:rPr>
        <w:t>共性</w:t>
      </w:r>
      <w:r>
        <w:rPr>
          <w:rFonts w:hint="default" w:ascii="仿宋_GB2312" w:hAnsi="仿宋_GB2312" w:eastAsia="仿宋_GB2312" w:cs="仿宋_GB2312"/>
          <w:color w:val="auto"/>
          <w:sz w:val="32"/>
          <w:szCs w:val="32"/>
          <w:lang w:val="en-US" w:eastAsia="zh-CN"/>
        </w:rPr>
        <w:t>问题</w:t>
      </w:r>
      <w:r>
        <w:rPr>
          <w:rFonts w:hint="eastAsia" w:ascii="仿宋_GB2312" w:hAnsi="仿宋_GB2312" w:eastAsia="仿宋_GB2312" w:cs="仿宋_GB2312"/>
          <w:color w:val="auto"/>
          <w:sz w:val="32"/>
          <w:szCs w:val="32"/>
          <w:lang w:val="en-US" w:eastAsia="zh-CN"/>
        </w:rPr>
        <w:t>积极认领、照单全收，坚持问题导向、举一反三，认真梳理建立整改台账，实行闭环式销号整改。</w:t>
      </w:r>
    </w:p>
    <w:p>
      <w:pPr>
        <w:pStyle w:val="4"/>
        <w:keepNext w:val="0"/>
        <w:keepLines w:val="0"/>
        <w:pageBreakBefore w:val="0"/>
        <w:widowControl w:val="0"/>
        <w:suppressLineNumbers w:val="0"/>
        <w:kinsoku/>
        <w:wordWrap/>
        <w:overflowPunct w:val="0"/>
        <w:topLinePunct w:val="0"/>
        <w:autoSpaceDE w:val="0"/>
        <w:autoSpaceDN w:val="0"/>
        <w:bidi w:val="0"/>
        <w:adjustRightInd w:val="0"/>
        <w:snapToGrid w:val="0"/>
        <w:spacing w:beforeAutospacing="0" w:afterAutospacing="0" w:line="560" w:lineRule="exact"/>
        <w:ind w:left="0" w:firstLine="640" w:firstLineChars="200"/>
        <w:jc w:val="both"/>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二</w:t>
      </w:r>
      <w:r>
        <w:rPr>
          <w:rFonts w:hint="eastAsia" w:ascii="黑体" w:hAnsi="黑体" w:eastAsia="黑体" w:cs="黑体"/>
          <w:sz w:val="32"/>
          <w:szCs w:val="32"/>
        </w:rPr>
        <w:t>、下一步工作</w:t>
      </w:r>
      <w:r>
        <w:rPr>
          <w:rFonts w:hint="eastAsia" w:ascii="黑体" w:hAnsi="黑体" w:eastAsia="黑体" w:cs="黑体"/>
          <w:sz w:val="32"/>
          <w:szCs w:val="32"/>
          <w:lang w:val="en-US" w:eastAsia="zh-CN"/>
        </w:rPr>
        <w:t>打算</w:t>
      </w:r>
    </w:p>
    <w:p>
      <w:pPr>
        <w:keepNext w:val="0"/>
        <w:keepLines w:val="0"/>
        <w:pageBreakBefore w:val="0"/>
        <w:widowControl w:val="0"/>
        <w:suppressLineNumbers w:val="0"/>
        <w:kinsoku/>
        <w:wordWrap/>
        <w:overflowPunct w:val="0"/>
        <w:topLinePunct w:val="0"/>
        <w:autoSpaceDE w:val="0"/>
        <w:autoSpaceDN w:val="0"/>
        <w:bidi w:val="0"/>
        <w:adjustRightInd w:val="0"/>
        <w:snapToGrid w:val="0"/>
        <w:spacing w:line="560" w:lineRule="exact"/>
        <w:ind w:firstLine="640" w:firstLineChars="200"/>
        <w:jc w:val="both"/>
        <w:textAlignment w:val="auto"/>
        <w:rPr>
          <w:rFonts w:hint="eastAsia" w:ascii="仿宋_GB2312" w:hAnsi="仿宋_GB2312" w:eastAsia="仿宋_GB2312" w:cs="仿宋_GB2312"/>
          <w:sz w:val="32"/>
          <w:szCs w:val="32"/>
        </w:rPr>
      </w:pPr>
      <w:r>
        <w:rPr>
          <w:rStyle w:val="7"/>
          <w:rFonts w:hint="eastAsia" w:ascii="楷体_GB2312" w:hAnsi="楷体_GB2312" w:eastAsia="楷体_GB2312" w:cs="楷体_GB2312"/>
          <w:b w:val="0"/>
          <w:bCs/>
          <w:kern w:val="0"/>
          <w:sz w:val="32"/>
          <w:szCs w:val="32"/>
          <w:lang w:val="en-US" w:eastAsia="zh-CN" w:bidi="ar"/>
        </w:rPr>
        <w:t>（一）深化理论学习，增强自身本领。</w:t>
      </w:r>
      <w:r>
        <w:rPr>
          <w:rFonts w:hint="eastAsia" w:ascii="仿宋_GB2312" w:hAnsi="仿宋_GB2312" w:eastAsia="仿宋_GB2312" w:cs="仿宋_GB2312"/>
          <w:sz w:val="32"/>
          <w:szCs w:val="32"/>
          <w:lang w:val="en-US" w:eastAsia="zh-CN"/>
        </w:rPr>
        <w:t>坚持以习近平新时代中国特色社会主义思想武装头脑、指导实践、推动落实，带头全面落实党的二十大关于法治建设的总体要求，树牢“一把手抓法治”思想，进一步扩展学习宣传的广度和</w:t>
      </w:r>
      <w:bookmarkStart w:id="0" w:name="_GoBack"/>
      <w:bookmarkEnd w:id="0"/>
      <w:r>
        <w:rPr>
          <w:rFonts w:hint="eastAsia" w:ascii="仿宋_GB2312" w:hAnsi="仿宋_GB2312" w:eastAsia="仿宋_GB2312" w:cs="仿宋_GB2312"/>
          <w:sz w:val="32"/>
          <w:szCs w:val="32"/>
          <w:lang w:val="en-US" w:eastAsia="zh-CN"/>
        </w:rPr>
        <w:t>深度，不断提高班子成员推动法治建设的能力水平和主动性。</w:t>
      </w:r>
    </w:p>
    <w:p>
      <w:pPr>
        <w:keepNext w:val="0"/>
        <w:keepLines w:val="0"/>
        <w:pageBreakBefore w:val="0"/>
        <w:widowControl w:val="0"/>
        <w:suppressLineNumbers w:val="0"/>
        <w:kinsoku/>
        <w:wordWrap/>
        <w:overflowPunct w:val="0"/>
        <w:topLinePunct w:val="0"/>
        <w:autoSpaceDE w:val="0"/>
        <w:autoSpaceDN w:val="0"/>
        <w:bidi w:val="0"/>
        <w:adjustRightInd w:val="0"/>
        <w:snapToGrid w:val="0"/>
        <w:spacing w:line="560" w:lineRule="exact"/>
        <w:ind w:firstLine="640" w:firstLineChars="200"/>
        <w:jc w:val="both"/>
        <w:textAlignment w:val="auto"/>
        <w:rPr>
          <w:rFonts w:hint="eastAsia" w:ascii="仿宋_GB2312" w:hAnsi="仿宋_GB2312" w:eastAsia="仿宋_GB2312" w:cs="仿宋_GB2312"/>
          <w:sz w:val="32"/>
          <w:szCs w:val="32"/>
        </w:rPr>
      </w:pPr>
      <w:r>
        <w:rPr>
          <w:rStyle w:val="7"/>
          <w:rFonts w:hint="eastAsia" w:ascii="楷体_GB2312" w:hAnsi="楷体_GB2312" w:eastAsia="楷体_GB2312" w:cs="楷体_GB2312"/>
          <w:b w:val="0"/>
          <w:bCs/>
          <w:kern w:val="0"/>
          <w:sz w:val="32"/>
          <w:szCs w:val="32"/>
          <w:lang w:val="en-US" w:eastAsia="zh-CN" w:bidi="ar"/>
        </w:rPr>
        <w:t>（二）创新工作举措，完善运行机制。</w:t>
      </w:r>
      <w:r>
        <w:rPr>
          <w:rFonts w:hint="eastAsia" w:ascii="仿宋_GB2312" w:hAnsi="仿宋_GB2312" w:eastAsia="仿宋_GB2312" w:cs="仿宋_GB2312"/>
          <w:sz w:val="32"/>
          <w:szCs w:val="32"/>
        </w:rPr>
        <w:t>坚持将法治建设与中心工作同研究、同部署、同考核。细化工作任务、明确工作措施，创新</w:t>
      </w:r>
      <w:r>
        <w:rPr>
          <w:rFonts w:hint="eastAsia" w:ascii="仿宋_GB2312" w:hAnsi="仿宋_GB2312" w:eastAsia="仿宋_GB2312" w:cs="仿宋_GB2312"/>
          <w:sz w:val="32"/>
          <w:szCs w:val="32"/>
          <w:lang w:val="en-US" w:eastAsia="zh-CN"/>
        </w:rPr>
        <w:t>运行</w:t>
      </w:r>
      <w:r>
        <w:rPr>
          <w:rFonts w:hint="eastAsia" w:ascii="仿宋_GB2312" w:hAnsi="仿宋_GB2312" w:eastAsia="仿宋_GB2312" w:cs="仿宋_GB2312"/>
          <w:sz w:val="32"/>
          <w:szCs w:val="32"/>
        </w:rPr>
        <w:t>机制，</w:t>
      </w:r>
      <w:r>
        <w:rPr>
          <w:rFonts w:hint="eastAsia" w:ascii="仿宋_GB2312" w:hAnsi="仿宋_GB2312" w:eastAsia="仿宋_GB2312" w:cs="仿宋_GB2312"/>
          <w:sz w:val="32"/>
          <w:szCs w:val="32"/>
          <w:lang w:val="en-US" w:eastAsia="zh-CN"/>
        </w:rPr>
        <w:t>不断提升法治素养，</w:t>
      </w:r>
      <w:r>
        <w:rPr>
          <w:rFonts w:hint="eastAsia" w:ascii="仿宋_GB2312" w:hAnsi="仿宋_GB2312" w:eastAsia="仿宋_GB2312" w:cs="仿宋_GB2312"/>
          <w:sz w:val="32"/>
          <w:szCs w:val="32"/>
        </w:rPr>
        <w:t>真正使广大</w:t>
      </w:r>
      <w:r>
        <w:rPr>
          <w:rFonts w:hint="eastAsia" w:ascii="仿宋_GB2312" w:hAnsi="仿宋_GB2312" w:eastAsia="仿宋_GB2312" w:cs="仿宋_GB2312"/>
          <w:sz w:val="32"/>
          <w:szCs w:val="32"/>
          <w:lang w:val="en-US" w:eastAsia="zh-CN"/>
        </w:rPr>
        <w:t>党员干部</w:t>
      </w:r>
      <w:r>
        <w:rPr>
          <w:rFonts w:hint="eastAsia" w:ascii="仿宋_GB2312" w:hAnsi="仿宋_GB2312" w:eastAsia="仿宋_GB2312" w:cs="仿宋_GB2312"/>
          <w:sz w:val="32"/>
          <w:szCs w:val="32"/>
        </w:rPr>
        <w:t>成为法治建设的重要组织者、推动者和实践者。</w:t>
      </w:r>
    </w:p>
    <w:p>
      <w:pPr>
        <w:keepNext w:val="0"/>
        <w:keepLines w:val="0"/>
        <w:pageBreakBefore w:val="0"/>
        <w:widowControl w:val="0"/>
        <w:suppressLineNumbers w:val="0"/>
        <w:kinsoku/>
        <w:wordWrap/>
        <w:overflowPunct w:val="0"/>
        <w:topLinePunct w:val="0"/>
        <w:autoSpaceDE w:val="0"/>
        <w:autoSpaceDN w:val="0"/>
        <w:bidi w:val="0"/>
        <w:adjustRightInd w:val="0"/>
        <w:snapToGrid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Style w:val="7"/>
          <w:rFonts w:hint="eastAsia" w:ascii="楷体_GB2312" w:hAnsi="楷体_GB2312" w:eastAsia="楷体_GB2312" w:cs="楷体_GB2312"/>
          <w:b w:val="0"/>
          <w:bCs/>
          <w:kern w:val="0"/>
          <w:sz w:val="32"/>
          <w:szCs w:val="32"/>
          <w:lang w:val="en-US" w:eastAsia="zh-CN" w:bidi="ar"/>
        </w:rPr>
        <w:t>（三）强化队伍建设，增强法治保障。</w:t>
      </w:r>
      <w:r>
        <w:rPr>
          <w:rFonts w:hint="eastAsia" w:ascii="仿宋_GB2312" w:hAnsi="仿宋_GB2312" w:eastAsia="仿宋_GB2312" w:cs="仿宋_GB2312"/>
          <w:kern w:val="0"/>
          <w:sz w:val="32"/>
          <w:szCs w:val="32"/>
          <w:lang w:val="en-US" w:eastAsia="zh-CN" w:bidi="ar"/>
        </w:rPr>
        <w:t>突出政治素质和能力素质，加大培训力度，深入开展乡村“法律</w:t>
      </w:r>
      <w:r>
        <w:rPr>
          <w:rFonts w:hint="eastAsia" w:ascii="仿宋_GB2312" w:hAnsi="仿宋_GB2312" w:eastAsia="仿宋_GB2312" w:cs="仿宋_GB2312"/>
          <w:sz w:val="32"/>
          <w:szCs w:val="32"/>
          <w:lang w:val="en-US" w:eastAsia="zh-CN"/>
        </w:rPr>
        <w:t>明白人”培育工程，</w:t>
      </w:r>
      <w:r>
        <w:rPr>
          <w:rFonts w:hint="eastAsia" w:ascii="仿宋_GB2312" w:hAnsi="仿宋_GB2312" w:eastAsia="仿宋_GB2312" w:cs="仿宋_GB2312"/>
          <w:kern w:val="0"/>
          <w:sz w:val="32"/>
          <w:szCs w:val="32"/>
          <w:lang w:val="en-US" w:eastAsia="zh-CN" w:bidi="ar"/>
        </w:rPr>
        <w:t>用好“一村一法律顾问”作用，</w:t>
      </w:r>
      <w:r>
        <w:rPr>
          <w:rFonts w:hint="eastAsia" w:ascii="仿宋_GB2312" w:hAnsi="仿宋_GB2312" w:eastAsia="仿宋_GB2312" w:cs="仿宋_GB2312"/>
          <w:sz w:val="32"/>
          <w:szCs w:val="32"/>
          <w:lang w:val="en-US" w:eastAsia="zh-CN"/>
        </w:rPr>
        <w:t>推动“法律明白人”在法治宣传、依法调解各类矛盾纠纷中发挥更大作用。</w:t>
      </w:r>
    </w:p>
    <w:p>
      <w:pPr>
        <w:keepNext w:val="0"/>
        <w:keepLines w:val="0"/>
        <w:pageBreakBefore w:val="0"/>
        <w:widowControl w:val="0"/>
        <w:suppressLineNumbers w:val="0"/>
        <w:kinsoku/>
        <w:wordWrap/>
        <w:overflowPunct w:val="0"/>
        <w:topLinePunct w:val="0"/>
        <w:autoSpaceDE w:val="0"/>
        <w:autoSpaceDN w:val="0"/>
        <w:bidi w:val="0"/>
        <w:adjustRightInd w:val="0"/>
        <w:snapToGrid w:val="0"/>
        <w:spacing w:line="560" w:lineRule="exact"/>
        <w:jc w:val="both"/>
        <w:textAlignment w:val="auto"/>
        <w:rPr>
          <w:rFonts w:hint="default" w:ascii="仿宋_GB2312" w:hAnsi="仿宋_GB2312" w:eastAsia="仿宋_GB2312" w:cs="仿宋_GB2312"/>
          <w:sz w:val="32"/>
          <w:szCs w:val="32"/>
          <w:lang w:val="en-US" w:eastAsia="zh-CN"/>
        </w:rPr>
      </w:pPr>
    </w:p>
    <w:sectPr>
      <w:footerReference r:id="rId3" w:type="default"/>
      <w:pgSz w:w="11906" w:h="16838"/>
      <w:pgMar w:top="1701" w:right="1440" w:bottom="1701" w:left="1440"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楷体_GB2312">
    <w:altName w:val="楷体"/>
    <w:panose1 w:val="02010609030101010101"/>
    <w:charset w:val="86"/>
    <w:family w:val="auto"/>
    <w:pitch w:val="default"/>
    <w:sig w:usb0="00000000" w:usb1="0000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sz w:val="24"/>
                              <w:szCs w:val="40"/>
                            </w:rPr>
                            <w:t xml:space="preserve">—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r>
                            <w:rPr>
                              <w:sz w:val="24"/>
                              <w:szCs w:val="40"/>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
                    </w:pPr>
                    <w:r>
                      <w:rPr>
                        <w:sz w:val="24"/>
                        <w:szCs w:val="40"/>
                      </w:rPr>
                      <w:t xml:space="preserve">—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r>
                      <w:rPr>
                        <w:sz w:val="24"/>
                        <w:szCs w:val="40"/>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1MzZlZTAwYzk4MDYwYTM0YjdmYjA0MTUyOWFmOTQifQ=="/>
  </w:docVars>
  <w:rsids>
    <w:rsidRoot w:val="29E23199"/>
    <w:rsid w:val="01786B9F"/>
    <w:rsid w:val="09EE0611"/>
    <w:rsid w:val="0AAA6F71"/>
    <w:rsid w:val="0BBD3882"/>
    <w:rsid w:val="129B17A9"/>
    <w:rsid w:val="135850F8"/>
    <w:rsid w:val="1A750990"/>
    <w:rsid w:val="27B64475"/>
    <w:rsid w:val="29E23199"/>
    <w:rsid w:val="32326DEE"/>
    <w:rsid w:val="36D130B5"/>
    <w:rsid w:val="3C7B15EE"/>
    <w:rsid w:val="498A209A"/>
    <w:rsid w:val="55955184"/>
    <w:rsid w:val="66231DD3"/>
    <w:rsid w:val="72A70B1A"/>
    <w:rsid w:val="74750136"/>
    <w:rsid w:val="78197298"/>
    <w:rsid w:val="786C67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2735</Words>
  <Characters>2760</Characters>
  <Lines>0</Lines>
  <Paragraphs>0</Paragraphs>
  <TotalTime>7</TotalTime>
  <ScaleCrop>false</ScaleCrop>
  <LinksUpToDate>false</LinksUpToDate>
  <CharactersWithSpaces>2779</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2024-12-29T08:21:00Z</dcterms:created>
  <dc:creator>lenovo</dc:creator>
  <cp:lastModifiedBy>喜文</cp:lastModifiedBy>
  <cp:lastPrinted>2025-03-10T03:54:00Z</cp:lastPrinted>
  <dcterms:modified xsi:type="dcterms:W3CDTF">2025-03-13T04:29:52Z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B4E558FF92DA4A9C9D04FF11FDAC3EEC_13</vt:lpwstr>
  </property>
  <property fmtid="{D5CDD505-2E9C-101B-9397-08002B2CF9AE}" pid="4" name="KSOTemplateDocerSaveRecord">
    <vt:lpwstr>eyJoZGlkIjoiZDgxNTgxZTg5OGQ3YjM1NTBiYTJjY2EwYmRjZjY5YjUifQ==</vt:lpwstr>
  </property>
</Properties>
</file>