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方正小标宋简体" w:hAnsi="方正小标宋简体" w:eastAsia="方正小标宋简体" w:cs="方正小标宋简体"/>
          <w:b w:val="0"/>
          <w:bCs w:val="0"/>
          <w:color w:val="000000" w:themeColor="text1"/>
          <w:sz w:val="44"/>
          <w:szCs w:val="44"/>
          <w:lang w:val="en-US" w:eastAsia="zh-CN"/>
          <w14:textFill>
            <w14:solidFill>
              <w14:schemeClr w14:val="tx1"/>
            </w14:solidFill>
          </w14:textFill>
        </w:rPr>
      </w:pPr>
      <w:r>
        <w:rPr>
          <w:rFonts w:hint="default" w:ascii="Times New Roman" w:hAnsi="Times New Roman" w:eastAsia="方正小标宋简体" w:cs="Times New Roman"/>
          <w:b w:val="0"/>
          <w:bCs w:val="0"/>
          <w:color w:val="000000" w:themeColor="text1"/>
          <w:sz w:val="44"/>
          <w:szCs w:val="44"/>
          <w:lang w:val="en-US" w:eastAsia="zh-CN"/>
          <w14:textFill>
            <w14:solidFill>
              <w14:schemeClr w14:val="tx1"/>
            </w14:solidFill>
          </w14:textFill>
        </w:rPr>
        <w:t>2024</w:t>
      </w:r>
      <w:r>
        <w:rPr>
          <w:rFonts w:hint="eastAsia" w:ascii="方正小标宋简体" w:hAnsi="方正小标宋简体" w:eastAsia="方正小标宋简体" w:cs="方正小标宋简体"/>
          <w:b w:val="0"/>
          <w:bCs w:val="0"/>
          <w:color w:val="000000" w:themeColor="text1"/>
          <w:sz w:val="44"/>
          <w:szCs w:val="44"/>
          <w:lang w:val="en-US" w:eastAsia="zh-CN"/>
          <w14:textFill>
            <w14:solidFill>
              <w14:schemeClr w14:val="tx1"/>
            </w14:solidFill>
          </w14:textFill>
        </w:rPr>
        <w:t>年度述法报告</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楷体_GB2312" w:hAnsi="楷体_GB2312" w:eastAsia="楷体_GB2312" w:cs="楷体_GB2312"/>
          <w:b w:val="0"/>
          <w:bCs w:val="0"/>
          <w:color w:val="000000" w:themeColor="text1"/>
          <w:sz w:val="32"/>
          <w:szCs w:val="32"/>
          <w:lang w:val="en-US" w:eastAsia="zh-CN"/>
          <w14:textFill>
            <w14:solidFill>
              <w14:schemeClr w14:val="tx1"/>
            </w14:solidFill>
          </w14:textFill>
        </w:rPr>
      </w:pPr>
      <w:bookmarkStart w:id="0" w:name="_GoBack"/>
      <w:r>
        <w:rPr>
          <w:rFonts w:hint="eastAsia" w:ascii="楷体_GB2312" w:hAnsi="楷体_GB2312" w:eastAsia="楷体_GB2312" w:cs="楷体_GB2312"/>
          <w:b w:val="0"/>
          <w:bCs w:val="0"/>
          <w:color w:val="000000" w:themeColor="text1"/>
          <w:sz w:val="32"/>
          <w:szCs w:val="32"/>
          <w:lang w:val="en-US" w:eastAsia="zh-CN"/>
          <w14:textFill>
            <w14:solidFill>
              <w14:schemeClr w14:val="tx1"/>
            </w14:solidFill>
          </w14:textFill>
        </w:rPr>
        <w:t>市财政局党组副书记、局长、国资委党委副书记、主任</w:t>
      </w:r>
      <w:bookmarkEnd w:id="0"/>
      <w:r>
        <w:rPr>
          <w:rFonts w:hint="eastAsia" w:ascii="楷体_GB2312" w:hAnsi="楷体_GB2312" w:eastAsia="楷体_GB2312" w:cs="楷体_GB2312"/>
          <w:b w:val="0"/>
          <w:bCs w:val="0"/>
          <w:color w:val="000000" w:themeColor="text1"/>
          <w:sz w:val="32"/>
          <w:szCs w:val="32"/>
          <w:lang w:val="en-US" w:eastAsia="zh-CN"/>
          <w14:textFill>
            <w14:solidFill>
              <w14:schemeClr w14:val="tx1"/>
            </w14:solidFill>
          </w14:textFill>
        </w:rPr>
        <w:t xml:space="preserve">  曾文倩</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lang w:eastAsia="zh-CN"/>
        </w:rPr>
      </w:pPr>
      <w:r>
        <w:rPr>
          <w:rFonts w:hint="default" w:ascii="Times New Roman" w:hAnsi="Times New Roman" w:eastAsia="仿宋_GB2312" w:cs="Times New Roman"/>
          <w:sz w:val="32"/>
          <w:lang w:eastAsia="zh-CN"/>
        </w:rPr>
        <w:t>根据工作要求，现述法如下：</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color w:val="000000" w:themeColor="text1"/>
          <w:sz w:val="32"/>
          <w:szCs w:val="32"/>
          <w:lang w:eastAsia="zh-CN"/>
          <w14:textFill>
            <w14:solidFill>
              <w14:schemeClr w14:val="tx1"/>
            </w14:solidFill>
          </w14:textFill>
        </w:rPr>
      </w:pPr>
      <w:r>
        <w:rPr>
          <w:rFonts w:hint="eastAsia" w:ascii="黑体" w:hAnsi="黑体" w:eastAsia="黑体" w:cs="黑体"/>
          <w:color w:val="000000" w:themeColor="text1"/>
          <w:sz w:val="32"/>
          <w:szCs w:val="32"/>
          <w:lang w:eastAsia="zh-CN"/>
          <w14:textFill>
            <w14:solidFill>
              <w14:schemeClr w14:val="tx1"/>
            </w14:solidFill>
          </w14:textFill>
        </w:rPr>
        <w:t>履职情况</w:t>
      </w:r>
    </w:p>
    <w:p>
      <w:pPr>
        <w:keepNext w:val="0"/>
        <w:keepLines w:val="0"/>
        <w:pageBreakBefore w:val="0"/>
        <w:widowControl w:val="0"/>
        <w:numPr>
          <w:ilvl w:val="0"/>
          <w:numId w:val="2"/>
        </w:numPr>
        <w:kinsoku/>
        <w:wordWrap/>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b w:val="0"/>
          <w:bCs w:val="0"/>
          <w:color w:val="000000" w:themeColor="text1"/>
          <w:kern w:val="2"/>
          <w:sz w:val="32"/>
          <w:szCs w:val="32"/>
          <w:lang w:val="en-US" w:eastAsia="zh-CN" w:bidi="ar-SA"/>
          <w14:textFill>
            <w14:solidFill>
              <w14:schemeClr w14:val="tx1"/>
            </w14:solidFill>
          </w14:textFill>
        </w:rPr>
      </w:pPr>
      <w:r>
        <w:rPr>
          <w:rFonts w:hint="eastAsia" w:ascii="楷体_GB2312" w:hAnsi="楷体_GB2312" w:eastAsia="楷体_GB2312" w:cs="楷体_GB2312"/>
          <w:b w:val="0"/>
          <w:bCs w:val="0"/>
          <w:color w:val="000000" w:themeColor="text1"/>
          <w:kern w:val="2"/>
          <w:sz w:val="32"/>
          <w:szCs w:val="32"/>
          <w:lang w:val="en-US" w:eastAsia="zh-CN" w:bidi="ar-SA"/>
          <w14:textFill>
            <w14:solidFill>
              <w14:schemeClr w14:val="tx1"/>
            </w14:solidFill>
          </w14:textFill>
        </w:rPr>
        <w:t>履行推进法治建设第一责任人职责</w:t>
      </w:r>
    </w:p>
    <w:p>
      <w:pPr>
        <w:keepNext w:val="0"/>
        <w:keepLines w:val="0"/>
        <w:pageBreakBefore w:val="0"/>
        <w:widowControl w:val="0"/>
        <w:numPr>
          <w:ilvl w:val="0"/>
          <w:numId w:val="0"/>
        </w:numPr>
        <w:kinsoku/>
        <w:wordWrap/>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成立财政局法治建设工作领导小组，定期组织召开党组中心理论组扩大会议，研究制定法治政府建设工作计划。严格落实行政执法“三项制度”，完善行政执法设备和执法证件管理，积极推进会计监督检查等工作。研究制定党组中心理论组学法计划，开展多次专题学法活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楷体_GB2312" w:hAnsi="楷体_GB2312" w:eastAsia="楷体_GB2312" w:cs="楷体_GB2312"/>
          <w:b w:val="0"/>
          <w:bCs w:val="0"/>
          <w:color w:val="000000" w:themeColor="text1"/>
          <w:sz w:val="32"/>
          <w:szCs w:val="32"/>
          <w:lang w:eastAsia="zh-CN"/>
          <w14:textFill>
            <w14:solidFill>
              <w14:schemeClr w14:val="tx1"/>
            </w14:solidFill>
          </w14:textFill>
        </w:rPr>
      </w:pPr>
      <w:r>
        <w:rPr>
          <w:rFonts w:hint="eastAsia" w:ascii="楷体_GB2312" w:hAnsi="楷体_GB2312" w:eastAsia="楷体_GB2312" w:cs="楷体_GB2312"/>
          <w:b w:val="0"/>
          <w:bCs w:val="0"/>
          <w:color w:val="000000" w:themeColor="text1"/>
          <w:sz w:val="32"/>
          <w:szCs w:val="32"/>
          <w:lang w:eastAsia="zh-CN"/>
          <w14:textFill>
            <w14:solidFill>
              <w14:schemeClr w14:val="tx1"/>
            </w14:solidFill>
          </w14:textFill>
        </w:rPr>
        <w:t>（二）坚持学法用法率先示范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rPr>
          <w:rFonts w:hint="eastAsia" w:ascii="仿宋_GB2312" w:hAnsi="仿宋_GB2312" w:eastAsia="仿宋_GB2312" w:cs="仿宋_GB2312"/>
          <w:b w:val="0"/>
          <w:bCs w:val="0"/>
          <w:color w:val="000000" w:themeColor="text1"/>
          <w:sz w:val="32"/>
          <w:szCs w:val="32"/>
          <w:lang w:val="zh-CN"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eastAsia="zh-CN"/>
          <w14:textFill>
            <w14:solidFill>
              <w14:schemeClr w14:val="tx1"/>
            </w14:solidFill>
          </w14:textFill>
        </w:rPr>
        <w:t>一是</w:t>
      </w:r>
      <w:r>
        <w:rPr>
          <w:rFonts w:hint="eastAsia" w:ascii="仿宋_GB2312" w:hAnsi="仿宋_GB2312" w:eastAsia="仿宋_GB2312" w:cs="仿宋_GB2312"/>
          <w:color w:val="000000" w:themeColor="text1"/>
          <w:sz w:val="32"/>
          <w:szCs w:val="32"/>
          <w:lang w:eastAsia="zh-CN"/>
          <w14:textFill>
            <w14:solidFill>
              <w14:schemeClr w14:val="tx1"/>
            </w14:solidFill>
          </w14:textFill>
        </w:rPr>
        <w:t>以“八五”普法要求为指导，以党的全面依法治国会议文件和国家法律法规为重点，认真学习《习近平法治思想纲要》《中国共产党章程》《中国共产党纪律处分条例》《</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中华人民共和国</w:t>
      </w:r>
      <w:r>
        <w:rPr>
          <w:rFonts w:hint="eastAsia" w:ascii="仿宋_GB2312" w:hAnsi="仿宋_GB2312" w:eastAsia="仿宋_GB2312" w:cs="仿宋_GB2312"/>
          <w:color w:val="000000" w:themeColor="text1"/>
          <w:sz w:val="32"/>
          <w:szCs w:val="32"/>
          <w:lang w:eastAsia="zh-CN"/>
          <w14:textFill>
            <w14:solidFill>
              <w14:schemeClr w14:val="tx1"/>
            </w14:solidFill>
          </w14:textFill>
        </w:rPr>
        <w:t>宪法》《中华人民共和国民法典》和《中华人民共和国预算法》等法律法规，提高自身依法行政能力，维护宪法权威。</w:t>
      </w:r>
      <w:r>
        <w:rPr>
          <w:rFonts w:hint="eastAsia" w:ascii="仿宋_GB2312" w:hAnsi="仿宋_GB2312" w:eastAsia="仿宋_GB2312" w:cs="仿宋_GB2312"/>
          <w:b/>
          <w:bCs/>
          <w:color w:val="000000" w:themeColor="text1"/>
          <w:sz w:val="32"/>
          <w:szCs w:val="32"/>
          <w:lang w:eastAsia="zh-CN"/>
          <w14:textFill>
            <w14:solidFill>
              <w14:schemeClr w14:val="tx1"/>
            </w14:solidFill>
          </w14:textFill>
        </w:rPr>
        <w:t>二是</w:t>
      </w:r>
      <w:r>
        <w:rPr>
          <w:rFonts w:hint="eastAsia" w:ascii="仿宋_GB2312" w:hAnsi="仿宋_GB2312" w:eastAsia="仿宋_GB2312" w:cs="仿宋_GB2312"/>
          <w:color w:val="000000" w:themeColor="text1"/>
          <w:sz w:val="32"/>
          <w:szCs w:val="32"/>
          <w:lang w:eastAsia="zh-CN"/>
          <w14:textFill>
            <w14:solidFill>
              <w14:schemeClr w14:val="tx1"/>
            </w14:solidFill>
          </w14:textFill>
        </w:rPr>
        <w:t>严格按照我市作风整顿要求、规范自己、约束自己，更好地依法履职。</w:t>
      </w:r>
      <w:r>
        <w:rPr>
          <w:rFonts w:hint="default" w:ascii="仿宋_GB2312" w:hAnsi="仿宋_GB2312" w:eastAsia="仿宋_GB2312" w:cs="仿宋_GB2312"/>
          <w:b w:val="0"/>
          <w:bCs w:val="0"/>
          <w:color w:val="000000" w:themeColor="text1"/>
          <w:sz w:val="32"/>
          <w:szCs w:val="32"/>
          <w:lang w:val="en-US" w:eastAsia="zh-CN"/>
          <w14:textFill>
            <w14:solidFill>
              <w14:schemeClr w14:val="tx1"/>
            </w14:solidFill>
          </w14:textFill>
        </w:rPr>
        <w:t>将学习党的二十大</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、党的二十届二中全会、党的二十届三中全会</w:t>
      </w:r>
      <w:r>
        <w:rPr>
          <w:rFonts w:hint="default" w:ascii="仿宋_GB2312" w:hAnsi="仿宋_GB2312" w:eastAsia="仿宋_GB2312" w:cs="仿宋_GB2312"/>
          <w:b w:val="0"/>
          <w:bCs w:val="0"/>
          <w:color w:val="000000" w:themeColor="text1"/>
          <w:sz w:val="32"/>
          <w:szCs w:val="32"/>
          <w:lang w:val="en-US" w:eastAsia="zh-CN"/>
          <w14:textFill>
            <w14:solidFill>
              <w14:schemeClr w14:val="tx1"/>
            </w14:solidFill>
          </w14:textFill>
        </w:rPr>
        <w:t>精神融入“三会一课”和“主题党日”等党内集体活动，并通过“学习强国”“法宣在线”</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w:t>
      </w:r>
      <w:r>
        <w:rPr>
          <w:rFonts w:hint="default" w:ascii="仿宋_GB2312" w:hAnsi="仿宋_GB2312" w:eastAsia="仿宋_GB2312" w:cs="仿宋_GB2312"/>
          <w:b w:val="0"/>
          <w:bCs w:val="0"/>
          <w:color w:val="000000" w:themeColor="text1"/>
          <w:sz w:val="32"/>
          <w:szCs w:val="32"/>
          <w:lang w:val="en-US" w:eastAsia="zh-CN"/>
          <w14:textFill>
            <w14:solidFill>
              <w14:schemeClr w14:val="tx1"/>
            </w14:solidFill>
          </w14:textFill>
        </w:rPr>
        <w:t>新疆党员教育等线上平台开展学习，</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用理论知识武装头脑指导实践，</w:t>
      </w:r>
      <w:r>
        <w:rPr>
          <w:rFonts w:hint="eastAsia" w:ascii="仿宋_GB2312" w:hAnsi="仿宋_GB2312" w:eastAsia="仿宋_GB2312" w:cs="仿宋_GB2312"/>
          <w:b w:val="0"/>
          <w:bCs w:val="0"/>
          <w:color w:val="000000" w:themeColor="text1"/>
          <w:sz w:val="32"/>
          <w:szCs w:val="32"/>
          <w:lang w:val="zh-CN" w:eastAsia="zh-CN"/>
          <w14:textFill>
            <w14:solidFill>
              <w14:schemeClr w14:val="tx1"/>
            </w14:solidFill>
          </w14:textFill>
        </w:rPr>
        <w:t>统筹推进各项工作任务落实。</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楷体_GB2312" w:hAnsi="楷体_GB2312" w:eastAsia="楷体_GB2312" w:cs="楷体_GB2312"/>
          <w:b w:val="0"/>
          <w:bCs w:val="0"/>
          <w:color w:val="000000" w:themeColor="text1"/>
          <w:sz w:val="32"/>
          <w:szCs w:val="32"/>
          <w:lang w:eastAsia="zh-CN"/>
          <w14:textFill>
            <w14:solidFill>
              <w14:schemeClr w14:val="tx1"/>
            </w14:solidFill>
          </w14:textFill>
        </w:rPr>
      </w:pPr>
      <w:r>
        <w:rPr>
          <w:rFonts w:hint="eastAsia" w:ascii="楷体_GB2312" w:hAnsi="楷体_GB2312" w:eastAsia="楷体_GB2312" w:cs="楷体_GB2312"/>
          <w:b w:val="0"/>
          <w:bCs w:val="0"/>
          <w:color w:val="000000" w:themeColor="text1"/>
          <w:sz w:val="32"/>
          <w:szCs w:val="32"/>
          <w:lang w:eastAsia="zh-CN"/>
          <w14:textFill>
            <w14:solidFill>
              <w14:schemeClr w14:val="tx1"/>
            </w14:solidFill>
          </w14:textFill>
        </w:rPr>
        <w:t>（三）深入法治宣传营造氛围</w:t>
      </w:r>
    </w:p>
    <w:p>
      <w:pPr>
        <w:keepNext w:val="0"/>
        <w:keepLines w:val="0"/>
        <w:pageBreakBefore w:val="0"/>
        <w:widowControl w:val="0"/>
        <w:suppressLineNumbers w:val="0"/>
        <w:pBdr>
          <w:top w:val="none" w:color="auto" w:sz="0" w:space="1"/>
          <w:left w:val="none" w:color="auto" w:sz="0" w:space="4"/>
          <w:bottom w:val="none" w:color="auto" w:sz="0" w:space="1"/>
          <w:right w:val="none" w:color="auto" w:sz="0" w:space="4"/>
          <w:between w:val="none" w:color="auto" w:sz="0" w:space="0"/>
        </w:pBdr>
        <w:shd w:val="clear" w:fill="FFFFFF"/>
        <w:kinsoku/>
        <w:wordWrap/>
        <w:overflowPunct w:val="0"/>
        <w:topLinePunct w:val="0"/>
        <w:autoSpaceDE/>
        <w:autoSpaceDN/>
        <w:bidi w:val="0"/>
        <w:adjustRightInd/>
        <w:snapToGrid/>
        <w:spacing w:beforeAutospacing="0" w:afterAutospacing="0" w:line="560" w:lineRule="exact"/>
        <w:ind w:left="0" w:leftChars="0" w:right="0" w:firstLine="643" w:firstLineChars="200"/>
        <w:jc w:val="both"/>
        <w:textAlignment w:val="auto"/>
        <w:rPr>
          <w:rFonts w:hint="eastAsia" w:ascii="黑体" w:hAnsi="黑体" w:eastAsia="黑体" w:cs="黑体"/>
          <w:color w:val="000000" w:themeColor="text1"/>
          <w:sz w:val="32"/>
          <w:szCs w:val="32"/>
          <w:lang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eastAsia="zh-CN"/>
          <w14:textFill>
            <w14:solidFill>
              <w14:schemeClr w14:val="tx1"/>
            </w14:solidFill>
          </w14:textFill>
        </w:rPr>
        <w:t>一是</w:t>
      </w:r>
      <w:r>
        <w:rPr>
          <w:rFonts w:hint="eastAsia" w:ascii="仿宋_GB2312" w:hAnsi="仿宋_GB2312" w:eastAsia="仿宋_GB2312" w:cs="仿宋_GB2312"/>
          <w:color w:val="000000" w:themeColor="text1"/>
          <w:sz w:val="32"/>
          <w:szCs w:val="32"/>
          <w:lang w:eastAsia="zh-CN"/>
          <w14:textFill>
            <w14:solidFill>
              <w14:schemeClr w14:val="tx1"/>
            </w14:solidFill>
          </w14:textFill>
        </w:rPr>
        <w:t>丰富普法宣传教育载体。推进精准普法、智慧普法、互动式普法，创新普法形式载体，利用“宪法宣传月”《中华人民共和国民法典》宣传月、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国家安全教育日等重要节点，</w:t>
      </w:r>
      <w:r>
        <w:rPr>
          <w:rFonts w:hint="eastAsia" w:ascii="仿宋_GB2312" w:hAnsi="仿宋_GB2312" w:eastAsia="仿宋_GB2312" w:cs="仿宋_GB2312"/>
          <w:color w:val="000000" w:themeColor="text1"/>
          <w:sz w:val="32"/>
          <w:szCs w:val="32"/>
          <w:lang w:eastAsia="zh-CN"/>
          <w14:textFill>
            <w14:solidFill>
              <w14:schemeClr w14:val="tx1"/>
            </w14:solidFill>
          </w14:textFill>
        </w:rPr>
        <w:t>依托学习强国APP、法宣在线开展形式多样的学法活动。</w:t>
      </w:r>
      <w:r>
        <w:rPr>
          <w:rFonts w:hint="eastAsia" w:ascii="仿宋_GB2312" w:hAnsi="仿宋_GB2312" w:eastAsia="仿宋_GB2312" w:cs="仿宋_GB2312"/>
          <w:b/>
          <w:bCs/>
          <w:color w:val="000000" w:themeColor="text1"/>
          <w:sz w:val="32"/>
          <w:szCs w:val="32"/>
          <w:lang w:eastAsia="zh-CN"/>
          <w14:textFill>
            <w14:solidFill>
              <w14:schemeClr w14:val="tx1"/>
            </w14:solidFill>
          </w14:textFill>
        </w:rPr>
        <w:t>二是</w:t>
      </w:r>
      <w:r>
        <w:rPr>
          <w:rFonts w:hint="eastAsia" w:ascii="仿宋_GB2312" w:hAnsi="仿宋_GB2312" w:eastAsia="仿宋_GB2312" w:cs="仿宋_GB2312"/>
          <w:color w:val="000000" w:themeColor="text1"/>
          <w:sz w:val="32"/>
          <w:szCs w:val="32"/>
          <w:lang w:eastAsia="zh-CN"/>
          <w14:textFill>
            <w14:solidFill>
              <w14:schemeClr w14:val="tx1"/>
            </w14:solidFill>
          </w14:textFill>
        </w:rPr>
        <w:t>完善普法体系建设。全面推进“网格化+信息化”法治宣传体系建设，深化“互联网+法治宣传教育”行动，积极运用新媒体新技术，及时推送通俗易懂、群众易于学习掌握的有关习近平法治思想的宣传内容。</w:t>
      </w:r>
      <w:r>
        <w:rPr>
          <w:rFonts w:hint="eastAsia" w:ascii="仿宋_GB2312" w:hAnsi="仿宋_GB2312" w:eastAsia="仿宋_GB2312" w:cs="仿宋_GB2312"/>
          <w:b/>
          <w:bCs/>
          <w:color w:val="000000" w:themeColor="text1"/>
          <w:sz w:val="32"/>
          <w:szCs w:val="32"/>
          <w:lang w:eastAsia="zh-CN"/>
          <w14:textFill>
            <w14:solidFill>
              <w14:schemeClr w14:val="tx1"/>
            </w14:solidFill>
          </w14:textFill>
        </w:rPr>
        <w:t>三是</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丰富学习内容。制定法治建设工作实施方案，积极学习习近平总书记关于全面依法治国及法治政府建设的重要论述，把宪法、民法典等法律法规和党章规定纳入中心组学习内容，重点加强对《中华人民共和国预算法》《中华人民共和国政府采购法》等财政法律法规和《中国共产党章程》等党内规章制度的学习宣传，多方面多层次提高了财政干部的法律意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楷体_GB2312" w:hAnsi="楷体_GB2312" w:eastAsia="楷体_GB2312" w:cs="楷体_GB2312"/>
          <w:b w:val="0"/>
          <w:bCs w:val="0"/>
          <w:color w:val="000000" w:themeColor="text1"/>
          <w:sz w:val="32"/>
          <w:szCs w:val="32"/>
          <w:lang w:val="en-US" w:eastAsia="zh-CN"/>
          <w14:textFill>
            <w14:solidFill>
              <w14:schemeClr w14:val="tx1"/>
            </w14:solidFill>
          </w14:textFill>
        </w:rPr>
      </w:pPr>
      <w:r>
        <w:rPr>
          <w:rFonts w:hint="eastAsia" w:ascii="楷体_GB2312" w:hAnsi="楷体_GB2312" w:eastAsia="楷体_GB2312" w:cs="楷体_GB2312"/>
          <w:b w:val="0"/>
          <w:bCs w:val="0"/>
          <w:color w:val="000000" w:themeColor="text1"/>
          <w:sz w:val="32"/>
          <w:szCs w:val="32"/>
          <w:lang w:val="en-US" w:eastAsia="zh-CN"/>
          <w14:textFill>
            <w14:solidFill>
              <w14:schemeClr w14:val="tx1"/>
            </w14:solidFill>
          </w14:textFill>
        </w:rPr>
        <w:t>（四）严肃财经纪律，加快推进财政法治建设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pPr>
      <w:r>
        <w:rPr>
          <w:rFonts w:hint="eastAsia" w:ascii="仿宋_GB2312" w:hAnsi="仿宋_GB2312" w:eastAsia="仿宋_GB2312" w:cs="仿宋_GB2312"/>
          <w:b/>
          <w:bCs/>
          <w:color w:val="000000" w:themeColor="text1"/>
          <w:kern w:val="0"/>
          <w:sz w:val="32"/>
          <w:szCs w:val="32"/>
          <w:lang w:val="en-US" w:eastAsia="zh-CN" w:bidi="ar-SA"/>
          <w14:textFill>
            <w14:solidFill>
              <w14:schemeClr w14:val="tx1"/>
            </w14:solidFill>
          </w14:textFill>
        </w:rPr>
        <w:t>一是</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强化预算单位财务人员财务业务培训，提高财政人员思想认识和业务水平，加强资金管理和使用。坚持“花钱必问效、无效必问责”，制定预算绩效管理办法、预算绩效评价管理实施细则等，切实提高财政资源配置效率。</w:t>
      </w:r>
      <w:r>
        <w:rPr>
          <w:rFonts w:hint="eastAsia" w:ascii="仿宋_GB2312" w:hAnsi="仿宋_GB2312" w:eastAsia="仿宋_GB2312" w:cs="仿宋_GB2312"/>
          <w:b/>
          <w:bCs/>
          <w:color w:val="000000" w:themeColor="text1"/>
          <w:kern w:val="0"/>
          <w:sz w:val="32"/>
          <w:szCs w:val="32"/>
          <w:lang w:val="en-US" w:eastAsia="zh-CN" w:bidi="ar-SA"/>
          <w14:textFill>
            <w14:solidFill>
              <w14:schemeClr w14:val="tx1"/>
            </w14:solidFill>
          </w14:textFill>
        </w:rPr>
        <w:t>二是</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严格规范决策程序。执行《重大行政决策程序暂行条例》，落实重大行政决策目录化管理和合法性审核工作机制，对财政政策、干部任用、资金分配等重要事项，坚持会议集体讨论研究，发挥班子集体的智慧和力量。</w:t>
      </w:r>
      <w:r>
        <w:rPr>
          <w:rFonts w:hint="eastAsia" w:ascii="仿宋_GB2312" w:hAnsi="仿宋_GB2312" w:eastAsia="仿宋_GB2312" w:cs="仿宋_GB2312"/>
          <w:b/>
          <w:bCs/>
          <w:color w:val="000000" w:themeColor="text1"/>
          <w:kern w:val="0"/>
          <w:sz w:val="32"/>
          <w:szCs w:val="32"/>
          <w:lang w:val="en-US" w:eastAsia="zh-CN" w:bidi="ar-SA"/>
          <w14:textFill>
            <w14:solidFill>
              <w14:schemeClr w14:val="tx1"/>
            </w14:solidFill>
          </w14:textFill>
        </w:rPr>
        <w:t>三是</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落实法律顾问制度。与雪峰律师事务所律师铁建明签订长期聘请合同，并邀请律师对全局干部职工开展坚持法治讲座和法律指导</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2</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次，确保财政行政决定合法合规。</w:t>
      </w:r>
      <w:r>
        <w:rPr>
          <w:rFonts w:hint="eastAsia" w:ascii="仿宋_GB2312" w:hAnsi="仿宋_GB2312" w:eastAsia="仿宋_GB2312" w:cs="仿宋_GB2312"/>
          <w:b/>
          <w:bCs/>
          <w:color w:val="000000" w:themeColor="text1"/>
          <w:kern w:val="0"/>
          <w:sz w:val="32"/>
          <w:szCs w:val="32"/>
          <w:lang w:val="en-US" w:eastAsia="zh-CN" w:bidi="ar-SA"/>
          <w14:textFill>
            <w14:solidFill>
              <w14:schemeClr w14:val="tx1"/>
            </w14:solidFill>
          </w14:textFill>
        </w:rPr>
        <w:t>四是</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制定并公布财政局重大行政执法决定法制审核目录清单，确保作出的重大执法决定合法有效。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楷体_GB2312" w:hAnsi="楷体_GB2312" w:eastAsia="楷体_GB2312" w:cs="楷体_GB2312"/>
          <w:color w:val="000000" w:themeColor="text1"/>
          <w:kern w:val="0"/>
          <w:sz w:val="32"/>
          <w:szCs w:val="32"/>
          <w:lang w:val="en-US" w:eastAsia="zh-CN" w:bidi="ar-SA"/>
          <w14:textFill>
            <w14:solidFill>
              <w14:schemeClr w14:val="tx1"/>
            </w14:solidFill>
          </w14:textFill>
        </w:rPr>
      </w:pPr>
      <w:r>
        <w:rPr>
          <w:rFonts w:hint="eastAsia" w:ascii="楷体_GB2312" w:hAnsi="楷体_GB2312" w:eastAsia="楷体_GB2312" w:cs="楷体_GB2312"/>
          <w:color w:val="000000" w:themeColor="text1"/>
          <w:kern w:val="0"/>
          <w:sz w:val="32"/>
          <w:szCs w:val="32"/>
          <w:lang w:val="en-US" w:eastAsia="zh-CN" w:bidi="ar-SA"/>
          <w14:textFill>
            <w14:solidFill>
              <w14:schemeClr w14:val="tx1"/>
            </w14:solidFill>
          </w14:textFill>
        </w:rPr>
        <w:t>（五）落实行政执法体制改革</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pPr>
      <w:r>
        <w:rPr>
          <w:rFonts w:hint="eastAsia" w:ascii="仿宋_GB2312" w:hAnsi="仿宋_GB2312" w:eastAsia="仿宋_GB2312" w:cs="仿宋_GB2312"/>
          <w:b/>
          <w:bCs/>
          <w:color w:val="000000" w:themeColor="text1"/>
          <w:kern w:val="0"/>
          <w:sz w:val="32"/>
          <w:szCs w:val="32"/>
          <w:lang w:val="en-US" w:eastAsia="zh-CN" w:bidi="ar-SA"/>
          <w14:textFill>
            <w14:solidFill>
              <w14:schemeClr w14:val="tx1"/>
            </w14:solidFill>
          </w14:textFill>
        </w:rPr>
        <w:t>一是</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持续深入推行行政执法“三项制度”，严格执行行政执法公示制度、行政执法全过程记录制度、重大执法决定法制审核制度。强化事前公开、规范事中公示、加强事后公开。</w:t>
      </w:r>
      <w:r>
        <w:rPr>
          <w:rFonts w:hint="eastAsia" w:ascii="仿宋_GB2312" w:hAnsi="仿宋_GB2312" w:eastAsia="仿宋_GB2312" w:cs="仿宋_GB2312"/>
          <w:b/>
          <w:bCs/>
          <w:color w:val="000000" w:themeColor="text1"/>
          <w:kern w:val="0"/>
          <w:sz w:val="32"/>
          <w:szCs w:val="32"/>
          <w:lang w:val="en-US" w:eastAsia="zh-CN" w:bidi="ar-SA"/>
          <w14:textFill>
            <w14:solidFill>
              <w14:schemeClr w14:val="tx1"/>
            </w14:solidFill>
          </w14:textFill>
        </w:rPr>
        <w:t>二是</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通过文字、音像等记录形式，全过程记录行政执法启动、调查取证、审核决定、送达执行等，并全面系统归档保存，做到执法全过程留痕和可回溯管理。</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2024</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年，已配备执法记录仪</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2</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台。</w:t>
      </w:r>
      <w:r>
        <w:rPr>
          <w:rFonts w:hint="eastAsia" w:ascii="仿宋_GB2312" w:hAnsi="仿宋_GB2312" w:eastAsia="仿宋_GB2312" w:cs="仿宋_GB2312"/>
          <w:b/>
          <w:bCs/>
          <w:color w:val="000000" w:themeColor="text1"/>
          <w:kern w:val="0"/>
          <w:sz w:val="32"/>
          <w:szCs w:val="32"/>
          <w:lang w:val="en-US" w:eastAsia="zh-CN" w:bidi="ar-SA"/>
          <w14:textFill>
            <w14:solidFill>
              <w14:schemeClr w14:val="tx1"/>
            </w14:solidFill>
          </w14:textFill>
        </w:rPr>
        <w:t>三是</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加强重大行政执法决定法制审核工作，增强案件审核人员责任意识，准确把握案件审核关键，严把案件质量关。</w:t>
      </w:r>
      <w:r>
        <w:rPr>
          <w:rFonts w:hint="eastAsia" w:ascii="仿宋_GB2312" w:hAnsi="仿宋_GB2312" w:eastAsia="仿宋_GB2312" w:cs="仿宋_GB2312"/>
          <w:b/>
          <w:bCs/>
          <w:color w:val="000000" w:themeColor="text1"/>
          <w:kern w:val="0"/>
          <w:sz w:val="32"/>
          <w:szCs w:val="32"/>
          <w:lang w:val="en-US" w:eastAsia="zh-CN" w:bidi="ar-SA"/>
          <w14:textFill>
            <w14:solidFill>
              <w14:schemeClr w14:val="tx1"/>
            </w14:solidFill>
          </w14:textFill>
        </w:rPr>
        <w:t>四是</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依照法定权限和程序行使权力，注重从源头上预防和减少行政不作为、乱作为，执法不严格、不规范、不文明、不透明等突出问题，推动行政权力规范透明运行。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（六）上年度述法和自治区、地区及乌苏市法治督察反馈问题整改情况。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仿宋_GB2312" w:hAnsi="仿宋_GB2312" w:eastAsia="仿宋_GB2312" w:cs="仿宋_GB2312"/>
          <w:color w:val="000000" w:themeColor="text1"/>
          <w:ker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上年度述法和自治区、地区及乌苏市法治督察反馈的各项问题已全部整改完毕，整改率</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100%</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根据市委巡察组巡察反馈意见，市财政局迅速召开党组会议专题讨论，根据反馈的问题，积极制定问题整改责任清单和整改方案，建立问题台账、责任分解机制、处置销号机制，落实领导班子责任，明确整改要求和整改时限，防范整改问题出现反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color w:val="000000" w:themeColor="text1"/>
          <w:sz w:val="32"/>
          <w:szCs w:val="32"/>
          <w:lang w:eastAsia="zh-CN"/>
          <w14:textFill>
            <w14:solidFill>
              <w14:schemeClr w14:val="tx1"/>
            </w14:solidFill>
          </w14:textFill>
        </w:rPr>
      </w:pPr>
      <w:r>
        <w:rPr>
          <w:rFonts w:hint="eastAsia" w:ascii="黑体" w:hAnsi="黑体" w:eastAsia="黑体" w:cs="黑体"/>
          <w:color w:val="000000" w:themeColor="text1"/>
          <w:sz w:val="32"/>
          <w:szCs w:val="32"/>
          <w:lang w:eastAsia="zh-CN"/>
          <w14:textFill>
            <w14:solidFill>
              <w14:schemeClr w14:val="tx1"/>
            </w14:solidFill>
          </w14:textFill>
        </w:rPr>
        <w:t>二、下一步工作打算</w:t>
      </w:r>
    </w:p>
    <w:p>
      <w:pPr>
        <w:keepNext w:val="0"/>
        <w:keepLines w:val="0"/>
        <w:pageBreakBefore w:val="0"/>
        <w:widowControl w:val="0"/>
        <w:kinsoku/>
        <w:wordWrap/>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eastAsia="zh-CN"/>
          <w14:textFill>
            <w14:solidFill>
              <w14:schemeClr w14:val="tx1"/>
            </w14:solidFill>
          </w14:textFill>
        </w:rPr>
        <w:t>一是</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提高思想认识，推进财政法治建设。坚持以习近平新时代中国特色社会主义思想为指导，全面落实中央、自治区党委、地委、市委全面依法治地有关会议精神，切实增强法治工作的思想自觉、政治自觉和行动自觉，以法律法规为准绳，解决重点难点问题，以法治思维推动财政事业发展。</w:t>
      </w:r>
    </w:p>
    <w:p>
      <w:pPr>
        <w:keepNext w:val="0"/>
        <w:keepLines w:val="0"/>
        <w:pageBreakBefore w:val="0"/>
        <w:widowControl w:val="0"/>
        <w:kinsoku/>
        <w:wordWrap/>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二是</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进一步严肃财经纪律，规范使用财政资金。加强依法理财能力建设，健全预算收支管理、政府债务、政府采购等制度建设。将法治建设纳入工作计划和议事日程，落实“谁执法谁普法”的责任制，坚持法治宣传教育与依法行政、依法理财相结合。</w:t>
      </w:r>
    </w:p>
    <w:p>
      <w:pPr>
        <w:keepNext w:val="0"/>
        <w:keepLines w:val="0"/>
        <w:pageBreakBefore w:val="0"/>
        <w:widowControl w:val="0"/>
        <w:kinsoku/>
        <w:wordWrap/>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三是</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认真履行“八五”普法工作责任。按照普法责任清单，逐项落实财政普法工作任务，夯实依法理财基础，通过多种形式，激发财政干部学法用法积极性，提高财政干部法治意识、法治思维。切实履行主体责任，管好国家的“钱袋子”，当好人民的“铁算盘”。</w:t>
      </w:r>
    </w:p>
    <w:sectPr>
      <w:footerReference r:id="rId3" w:type="default"/>
      <w:pgSz w:w="11906" w:h="16838"/>
      <w:pgMar w:top="1701" w:right="1440" w:bottom="1701"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tabs>
                              <w:tab w:val="center" w:pos="4153"/>
                              <w:tab w:val="right" w:pos="8306"/>
                            </w:tabs>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tabs>
                        <w:tab w:val="center" w:pos="4153"/>
                        <w:tab w:val="right" w:pos="8306"/>
                      </w:tabs>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B14B1B"/>
    <w:multiLevelType w:val="singleLevel"/>
    <w:tmpl w:val="B8B14B1B"/>
    <w:lvl w:ilvl="0" w:tentative="0">
      <w:start w:val="1"/>
      <w:numFmt w:val="chineseCounting"/>
      <w:suff w:val="nothing"/>
      <w:lvlText w:val="%1、"/>
      <w:lvlJc w:val="left"/>
      <w:rPr>
        <w:rFonts w:hint="eastAsia"/>
      </w:rPr>
    </w:lvl>
  </w:abstractNum>
  <w:abstractNum w:abstractNumId="1">
    <w:nsid w:val="7329F41F"/>
    <w:multiLevelType w:val="singleLevel"/>
    <w:tmpl w:val="7329F41F"/>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hMGI1ZmUzNGRlZTQ0OTEzMDRkNWVjMmRmNTBlNTIifQ=="/>
  </w:docVars>
  <w:rsids>
    <w:rsidRoot w:val="00000000"/>
    <w:rsid w:val="028F73F2"/>
    <w:rsid w:val="02B1073E"/>
    <w:rsid w:val="05D2410E"/>
    <w:rsid w:val="14341757"/>
    <w:rsid w:val="270D56CC"/>
    <w:rsid w:val="35782AA0"/>
    <w:rsid w:val="393C289B"/>
    <w:rsid w:val="3F7E2F3D"/>
    <w:rsid w:val="43186639"/>
    <w:rsid w:val="46617760"/>
    <w:rsid w:val="47C832D3"/>
    <w:rsid w:val="49721731"/>
    <w:rsid w:val="49BB7FCC"/>
    <w:rsid w:val="49C44B74"/>
    <w:rsid w:val="4A3778AE"/>
    <w:rsid w:val="4F2A536A"/>
    <w:rsid w:val="507A789D"/>
    <w:rsid w:val="511C55B7"/>
    <w:rsid w:val="57B70CDE"/>
    <w:rsid w:val="5D112CC5"/>
    <w:rsid w:val="5D542905"/>
    <w:rsid w:val="5DFD2A6D"/>
    <w:rsid w:val="5F7505B4"/>
    <w:rsid w:val="606102F3"/>
    <w:rsid w:val="70E86A77"/>
    <w:rsid w:val="71D25B6C"/>
    <w:rsid w:val="71E118A7"/>
    <w:rsid w:val="735A60B9"/>
    <w:rsid w:val="75C85B69"/>
    <w:rsid w:val="76066218"/>
    <w:rsid w:val="77504785"/>
    <w:rsid w:val="77ADFE2D"/>
    <w:rsid w:val="7B7626F7"/>
    <w:rsid w:val="7CCD4FC6"/>
    <w:rsid w:val="7DFA4098"/>
    <w:rsid w:val="D7EFBA4C"/>
    <w:rsid w:val="F7BB8E55"/>
    <w:rsid w:val="FBB5AE9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qFormat/>
    <w:uiPriority w:val="0"/>
    <w:pPr>
      <w:spacing w:before="100" w:beforeAutospacing="1" w:after="100" w:afterAutospacing="1"/>
      <w:outlineLvl w:val="2"/>
    </w:pPr>
    <w:rPr>
      <w:rFonts w:ascii="宋体" w:hAnsi="宋体" w:cs="宋体"/>
      <w:b/>
      <w:bCs/>
      <w:sz w:val="27"/>
      <w:szCs w:val="27"/>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9</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2014-10-30T20:08:00Z</dcterms:created>
  <dc:creator>Administrator</dc:creator>
  <cp:lastModifiedBy>喜文</cp:lastModifiedBy>
  <cp:lastPrinted>2025-03-06T03:23:00Z</cp:lastPrinted>
  <dcterms:modified xsi:type="dcterms:W3CDTF">2025-03-17T10:04:58Z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E66E7577F7DCFDF8D50DC967263A356C</vt:lpwstr>
  </property>
</Properties>
</file>