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乌苏市吉尔格勒特郭楞蒙古民族乡2024年法治政府建设工作报告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2024年，在市</w:t>
      </w:r>
      <w:r>
        <w:rPr>
          <w:rFonts w:hint="eastAsia" w:ascii="仿宋_GB2312" w:hAnsi="仿宋_GB2312" w:eastAsia="仿宋_GB2312" w:cs="仿宋_GB2312"/>
          <w:sz w:val="32"/>
          <w:szCs w:val="32"/>
        </w:rPr>
        <w:t>委、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市</w:t>
      </w:r>
      <w:r>
        <w:rPr>
          <w:rFonts w:hint="eastAsia" w:ascii="仿宋_GB2312" w:hAnsi="仿宋_GB2312" w:eastAsia="仿宋_GB2312" w:cs="仿宋_GB2312"/>
          <w:sz w:val="32"/>
          <w:szCs w:val="32"/>
        </w:rPr>
        <w:t>政府的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正确领导下</w:t>
      </w:r>
      <w:r>
        <w:rPr>
          <w:rFonts w:hint="eastAsia" w:ascii="仿宋_GB2312" w:hAnsi="仿宋_GB2312" w:eastAsia="仿宋_GB2312" w:cs="仿宋_GB2312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按照全面推进依法治国总体要求，坚持依宪执政、依法行政，充分运用法治政府思维扎实推进法治政府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建设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，为推动法治政府建设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营造公平、公正、透明的社会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环境，现将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工作情况汇报如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b/>
          <w:bCs/>
          <w:color w:val="FF000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一、工作开展情况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楷体_GB2312" w:hAnsi="楷体_GB2312" w:eastAsia="楷体_GB2312" w:cs="楷体_GB2312"/>
          <w:color w:val="auto"/>
          <w:kern w:val="0"/>
          <w:sz w:val="32"/>
          <w:szCs w:val="32"/>
          <w:lang w:val="en-US" w:eastAsia="zh-CN" w:bidi="ar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（一）</w:t>
      </w:r>
      <w:r>
        <w:rPr>
          <w:rFonts w:hint="eastAsia" w:ascii="楷体_GB2312" w:hAnsi="楷体_GB2312" w:eastAsia="楷体_GB2312" w:cs="楷体_GB2312"/>
          <w:color w:val="auto"/>
          <w:kern w:val="0"/>
          <w:sz w:val="32"/>
          <w:szCs w:val="32"/>
          <w:lang w:val="en-US" w:eastAsia="zh-CN" w:bidi="ar"/>
        </w:rPr>
        <w:t>加强党对法治政府建设的领导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left"/>
        <w:textAlignment w:val="auto"/>
        <w:rPr>
          <w:rFonts w:hint="eastAsia" w:ascii="楷体_GB2312" w:hAnsi="楷体_GB2312" w:eastAsia="楷体_GB2312" w:cs="楷体_GB2312"/>
          <w:color w:val="auto"/>
          <w:kern w:val="0"/>
          <w:sz w:val="32"/>
          <w:szCs w:val="32"/>
          <w:lang w:val="en-US" w:eastAsia="zh-CN" w:bidi="ar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一是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加强组织保障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进一步发挥法治政府建设领导小组作用，形成主要领导负责抓，分管领导具体抓，领导小组成员配合抓的工作局面。确保法治政府建设工作顺利开展；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二是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严格落实第一责任人职责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围绕《党政主要负责人履行推进法治政府建设第一责任人职责规定》，带头履行全面推进法治政府建设第一责任人职责，将法治政府建设纳入全年工作计划，</w:t>
      </w:r>
      <w:r>
        <w:rPr>
          <w:rFonts w:hint="eastAsia" w:ascii="仿宋_GB2312" w:eastAsia="仿宋_GB2312" w:cs="仿宋_GB2312"/>
          <w:sz w:val="32"/>
          <w:szCs w:val="32"/>
          <w:lang w:val="en-US" w:eastAsia="zh-CN"/>
        </w:rPr>
        <w:t>2024年以来党政主要负责人讲法治政府课2次。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楷体_GB2312" w:hAnsi="楷体_GB2312" w:eastAsia="楷体_GB2312" w:cs="楷体_GB2312"/>
          <w:color w:val="auto"/>
          <w:kern w:val="0"/>
          <w:sz w:val="32"/>
          <w:szCs w:val="32"/>
          <w:lang w:val="en-US" w:eastAsia="zh-CN" w:bidi="ar"/>
        </w:rPr>
      </w:pPr>
      <w:r>
        <w:rPr>
          <w:rFonts w:hint="eastAsia" w:ascii="楷体_GB2312" w:hAnsi="楷体_GB2312" w:eastAsia="楷体_GB2312" w:cs="楷体_GB2312"/>
          <w:color w:val="auto"/>
          <w:kern w:val="0"/>
          <w:sz w:val="32"/>
          <w:szCs w:val="32"/>
          <w:lang w:val="en-US" w:eastAsia="zh-CN" w:bidi="ar"/>
        </w:rPr>
        <w:t>推进依法执政、依法行政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left"/>
        <w:textAlignment w:val="auto"/>
        <w:rPr>
          <w:rFonts w:hint="eastAsia" w:ascii="楷体_GB2312" w:hAnsi="楷体_GB2312" w:eastAsia="仿宋" w:cs="楷体_GB2312"/>
          <w:color w:val="auto"/>
          <w:kern w:val="0"/>
          <w:sz w:val="32"/>
          <w:szCs w:val="32"/>
          <w:lang w:val="en-US" w:eastAsia="zh-CN" w:bidi="ar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一是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加强法治宣传政府教育学习，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紧紧围绕党和国家工作大局开展法治政府宣传教育，深入学习习近平新时代中国特色社会主义思想、党的二十大精神、习近平总书记关于全面依法治政府国的重要论述，深刻领会、准确把握系列重要讲话精神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二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是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 w:bidi="ar"/>
        </w:rPr>
        <w:t>积极开展学法用法活动，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组织机关干部参与“法治政府讲堂、逢九必讲”活动、法宣在线学习85人、学法达人“月月赛”答题6次。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 w:bidi="ar"/>
        </w:rPr>
        <w:t>进一步提升领导干部依法行政的意识和能力。</w:t>
      </w:r>
      <w:r>
        <w:rPr>
          <w:rFonts w:ascii="仿宋" w:hAnsi="仿宋" w:eastAsia="仿宋" w:cs="仿宋"/>
          <w:i w:val="0"/>
          <w:iCs w:val="0"/>
          <w:caps w:val="0"/>
          <w:color w:val="000000"/>
          <w:spacing w:val="8"/>
          <w:sz w:val="32"/>
          <w:szCs w:val="32"/>
          <w:shd w:val="clear" w:fill="FFFFFF"/>
        </w:rPr>
        <w:t>参加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8"/>
          <w:sz w:val="32"/>
          <w:szCs w:val="32"/>
          <w:shd w:val="clear" w:fill="FFFFFF"/>
        </w:rPr>
        <w:t>自治区“宪法法律宣传月”和“4·15”全民国家安全教育日答题活动</w:t>
      </w:r>
      <w:r>
        <w:rPr>
          <w:rFonts w:ascii="仿宋" w:hAnsi="仿宋" w:eastAsia="仿宋" w:cs="仿宋"/>
          <w:i w:val="0"/>
          <w:iCs w:val="0"/>
          <w:caps w:val="0"/>
          <w:color w:val="000000"/>
          <w:spacing w:val="8"/>
          <w:sz w:val="32"/>
          <w:szCs w:val="32"/>
          <w:shd w:val="clear" w:fill="FFFFFF"/>
        </w:rPr>
        <w:t>。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8"/>
          <w:sz w:val="32"/>
          <w:szCs w:val="32"/>
          <w:shd w:val="clear" w:fill="FFFFFF"/>
          <w:lang w:val="en-US" w:eastAsia="zh-CN"/>
        </w:rPr>
        <w:t>2024年</w:t>
      </w:r>
      <w:r>
        <w:rPr>
          <w:rFonts w:ascii="仿宋" w:hAnsi="仿宋" w:eastAsia="仿宋" w:cs="仿宋"/>
          <w:i w:val="0"/>
          <w:iCs w:val="0"/>
          <w:caps w:val="0"/>
          <w:color w:val="000000"/>
          <w:spacing w:val="8"/>
          <w:sz w:val="32"/>
          <w:szCs w:val="32"/>
          <w:shd w:val="clear" w:fill="FFFFFF"/>
        </w:rPr>
        <w:t>，网上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法宣在线学习</w:t>
      </w:r>
      <w:r>
        <w:rPr>
          <w:rFonts w:ascii="仿宋" w:hAnsi="仿宋" w:eastAsia="仿宋" w:cs="仿宋"/>
          <w:i w:val="0"/>
          <w:iCs w:val="0"/>
          <w:caps w:val="0"/>
          <w:color w:val="000000"/>
          <w:spacing w:val="8"/>
          <w:sz w:val="32"/>
          <w:szCs w:val="32"/>
          <w:shd w:val="clear" w:fill="FFFFFF"/>
        </w:rPr>
        <w:t>和在线法律知识考试参加率、合格率均为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8"/>
          <w:sz w:val="32"/>
          <w:szCs w:val="32"/>
          <w:shd w:val="clear" w:fill="FFFFFF"/>
          <w:lang w:val="en-US" w:eastAsia="zh-CN"/>
        </w:rPr>
        <w:t>100</w:t>
      </w:r>
      <w:r>
        <w:rPr>
          <w:rFonts w:ascii="仿宋" w:hAnsi="仿宋" w:eastAsia="仿宋" w:cs="仿宋"/>
          <w:i w:val="0"/>
          <w:iCs w:val="0"/>
          <w:caps w:val="0"/>
          <w:color w:val="000000"/>
          <w:spacing w:val="8"/>
          <w:sz w:val="32"/>
          <w:szCs w:val="32"/>
          <w:shd w:val="clear" w:fill="FFFFFF"/>
        </w:rPr>
        <w:t>%。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三是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进一步夯实基层执法队伍建设。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今年内调整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1名科级干部担任综合执法办主任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，调整行政执法干事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1名通过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参加地区、市级执法培训和跟班学习的方式，不断加强业务能力。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2024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年共办理行政处罚案件1件，罚款200元。开展行政检查10次，重点对水利、农业、自然资源、交通运输进行检查，及时发现和纠正违法违规行为。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left"/>
        <w:textAlignment w:val="auto"/>
        <w:rPr>
          <w:rFonts w:hint="eastAsia" w:ascii="楷体_GB2312" w:hAnsi="楷体_GB2312" w:eastAsia="楷体_GB2312" w:cs="楷体_GB2312"/>
          <w:color w:val="auto"/>
          <w:kern w:val="0"/>
          <w:sz w:val="32"/>
          <w:szCs w:val="32"/>
          <w:lang w:val="en-US" w:eastAsia="zh-CN" w:bidi="ar"/>
        </w:rPr>
      </w:pPr>
      <w:r>
        <w:rPr>
          <w:rFonts w:hint="eastAsia" w:ascii="楷体_GB2312" w:hAnsi="楷体_GB2312" w:eastAsia="楷体_GB2312" w:cs="楷体_GB2312"/>
          <w:color w:val="auto"/>
          <w:kern w:val="0"/>
          <w:sz w:val="32"/>
          <w:szCs w:val="32"/>
          <w:lang w:val="en-US" w:eastAsia="zh-CN" w:bidi="ar"/>
        </w:rPr>
        <w:t>推进社会矛盾纠纷调处化解和公共法律服务体系建设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 w:cs="仿宋_GB2312"/>
          <w:sz w:val="32"/>
          <w:szCs w:val="32"/>
          <w:lang w:val="en-US" w:eastAsia="zh-CN"/>
        </w:rPr>
        <w:t>坚持和发展新时代“枫桥经验”，完善正确处理新形势下人民内部矛盾机制，常态化开展矛盾纠纷排查化解，抓紧抓实“排查、调解、防控、回访”四个环节，多元化开展矛盾纠纷排查化解，及时把矛盾纠纷化解在基层、化解在萌芽状态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2024年共摸排矛盾纠纷42件，成功调解矛盾纠纷41件，调解成功率97%</w:t>
      </w:r>
      <w:r>
        <w:rPr>
          <w:rFonts w:hint="eastAsia" w:ascii="仿宋_GB2312" w:eastAsia="仿宋_GB2312" w:cs="仿宋_GB2312"/>
          <w:sz w:val="32"/>
          <w:szCs w:val="32"/>
          <w:lang w:val="en-US" w:eastAsia="zh-CN"/>
        </w:rPr>
        <w:t>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楷体_GB2312" w:hAnsi="楷体_GB2312" w:eastAsia="楷体_GB2312" w:cs="楷体_GB2312"/>
          <w:color w:val="auto"/>
          <w:kern w:val="0"/>
          <w:sz w:val="32"/>
          <w:szCs w:val="32"/>
          <w:lang w:val="en-US" w:eastAsia="zh-CN" w:bidi="ar"/>
        </w:rPr>
      </w:pPr>
      <w:r>
        <w:rPr>
          <w:rFonts w:hint="eastAsia" w:ascii="仿宋_GB2312" w:eastAsia="仿宋_GB2312" w:cs="仿宋_GB2312"/>
          <w:sz w:val="32"/>
          <w:szCs w:val="32"/>
          <w:lang w:val="en-US" w:eastAsia="zh-CN"/>
        </w:rPr>
        <w:t>为加强法治政府乡村建设，提高基层治理法治政府化水平，积极培养各村队法律明白人24人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，开展培训3次，参加塔城地区“法律明白人”培训1人，为村民提供法律咨询服务；公共法律服务站1个，公共法律服务室8个，均正常运行，公共法律服务站解答法律咨询20人（次）。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楷体_GB2312" w:hAnsi="楷体_GB2312" w:eastAsia="楷体_GB2312" w:cs="楷体_GB2312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楷体_GB2312" w:hAnsi="楷体_GB2312" w:eastAsia="楷体_GB2312" w:cs="楷体_GB2312"/>
          <w:color w:val="auto"/>
          <w:kern w:val="0"/>
          <w:sz w:val="32"/>
          <w:szCs w:val="32"/>
          <w:lang w:val="en-US" w:eastAsia="zh-CN" w:bidi="ar"/>
        </w:rPr>
        <w:t>（四）推进全民普法守法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楷体_GB2312" w:hAnsi="楷体_GB2312" w:eastAsia="楷体_GB2312" w:cs="楷体_GB2312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 w:bidi="ar"/>
        </w:rPr>
        <w:t>加大法治政府建设的宣传力度，充分利用微信公众号、微信群、LED显示屏、宣传专栏、便民服务车等平台渠道广泛宣传法律法规，开展形式多样的法治政府宣传活动。</w:t>
      </w:r>
      <w:r>
        <w:rPr>
          <w:rFonts w:hint="eastAsia" w:ascii="仿宋_GB2312" w:hAnsi="Times New Roman" w:eastAsia="仿宋_GB2312" w:cs="Times New Roman"/>
          <w:color w:val="000000"/>
          <w:sz w:val="32"/>
          <w:szCs w:val="32"/>
          <w:lang w:val="en-US" w:eastAsia="zh-CN"/>
        </w:rPr>
        <w:t>着力加强对《中华人民共和国民法典》《信访工作条例》《土地承包法》《中华人民共和国环境保护法》《中华人民共和国食品安全法》等重点法律法规的宣传普及，</w:t>
      </w:r>
      <w:r>
        <w:rPr>
          <w:rFonts w:hint="eastAsia" w:ascii="仿宋" w:hAnsi="仿宋" w:eastAsia="仿宋"/>
          <w:sz w:val="32"/>
        </w:rPr>
        <w:t>并组织开展各个专项法律宣传日、宣传周、宣传月活动，不断扩大</w:t>
      </w:r>
      <w:r>
        <w:rPr>
          <w:rFonts w:hint="eastAsia" w:ascii="仿宋" w:hAnsi="仿宋" w:eastAsia="仿宋"/>
          <w:sz w:val="32"/>
          <w:lang w:eastAsia="zh-CN"/>
        </w:rPr>
        <w:t>法治政府</w:t>
      </w:r>
      <w:r>
        <w:rPr>
          <w:rFonts w:hint="eastAsia" w:ascii="仿宋" w:hAnsi="仿宋" w:eastAsia="仿宋"/>
          <w:sz w:val="32"/>
        </w:rPr>
        <w:t>宣传教育的社会影响和实际效果。</w:t>
      </w:r>
      <w:r>
        <w:rPr>
          <w:rFonts w:hint="eastAsia" w:ascii="仿宋" w:hAnsi="仿宋" w:eastAsia="仿宋"/>
          <w:sz w:val="32"/>
          <w:lang w:val="en-US" w:eastAsia="zh-CN"/>
        </w:rPr>
        <w:t>2024年累计发放普法宣传单1500余份，在集市开展普法宣传活动10次，受益人群约3000人。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二、下一步工作打算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643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Times New Roman"/>
          <w:b/>
          <w:bCs/>
          <w:color w:val="auto"/>
          <w:spacing w:val="0"/>
          <w:kern w:val="2"/>
          <w:sz w:val="32"/>
          <w:szCs w:val="32"/>
          <w:highlight w:val="none"/>
          <w:lang w:val="en-US" w:eastAsia="zh-CN"/>
        </w:rPr>
        <w:t>一是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kern w:val="2"/>
          <w:sz w:val="32"/>
          <w:szCs w:val="32"/>
          <w:highlight w:val="none"/>
          <w:lang w:val="en-US" w:eastAsia="zh-CN"/>
        </w:rPr>
        <w:t>加强队伍建设。</w:t>
      </w:r>
      <w:r>
        <w:rPr>
          <w:rFonts w:hint="eastAsia" w:ascii="Times New Roman" w:hAnsi="Times New Roman" w:eastAsia="仿宋_GB2312" w:cs="Times New Roman"/>
          <w:color w:val="auto"/>
          <w:spacing w:val="0"/>
          <w:kern w:val="2"/>
          <w:sz w:val="32"/>
          <w:szCs w:val="32"/>
          <w:highlight w:val="none"/>
          <w:lang w:val="en-US" w:eastAsia="zh-CN"/>
        </w:rPr>
        <w:t>完善学法制度，</w:t>
      </w:r>
      <w:r>
        <w:rPr>
          <w:rFonts w:hint="default" w:ascii="Times New Roman" w:hAnsi="Times New Roman" w:eastAsia="仿宋_GB2312" w:cs="Times New Roman"/>
          <w:color w:val="auto"/>
          <w:spacing w:val="0"/>
          <w:kern w:val="2"/>
          <w:sz w:val="32"/>
          <w:szCs w:val="32"/>
          <w:highlight w:val="none"/>
          <w:lang w:val="en-US" w:eastAsia="zh-CN"/>
        </w:rPr>
        <w:t>通过中心组</w:t>
      </w:r>
      <w:r>
        <w:rPr>
          <w:rFonts w:hint="eastAsia" w:ascii="Times New Roman" w:hAnsi="Times New Roman" w:eastAsia="仿宋_GB2312" w:cs="Times New Roman"/>
          <w:color w:val="auto"/>
          <w:spacing w:val="0"/>
          <w:kern w:val="2"/>
          <w:sz w:val="32"/>
          <w:szCs w:val="32"/>
          <w:highlight w:val="none"/>
          <w:lang w:val="en-US" w:eastAsia="zh-CN"/>
        </w:rPr>
        <w:t>理论学习</w:t>
      </w:r>
      <w:r>
        <w:rPr>
          <w:rFonts w:hint="default" w:ascii="Times New Roman" w:hAnsi="Times New Roman" w:eastAsia="仿宋_GB2312" w:cs="Times New Roman"/>
          <w:color w:val="auto"/>
          <w:spacing w:val="0"/>
          <w:kern w:val="2"/>
          <w:sz w:val="32"/>
          <w:szCs w:val="32"/>
          <w:highlight w:val="none"/>
          <w:lang w:val="en-US" w:eastAsia="zh-CN"/>
        </w:rPr>
        <w:t>、</w:t>
      </w:r>
      <w:r>
        <w:rPr>
          <w:rFonts w:hint="eastAsia" w:ascii="Times New Roman" w:hAnsi="Times New Roman" w:eastAsia="仿宋_GB2312" w:cs="Times New Roman"/>
          <w:color w:val="auto"/>
          <w:spacing w:val="0"/>
          <w:kern w:val="2"/>
          <w:sz w:val="32"/>
          <w:szCs w:val="32"/>
          <w:highlight w:val="none"/>
          <w:lang w:val="en-US" w:eastAsia="zh-CN"/>
        </w:rPr>
        <w:t>主题党日活动、周二学习日、</w:t>
      </w:r>
      <w:r>
        <w:rPr>
          <w:rFonts w:hint="default" w:ascii="Times New Roman" w:hAnsi="Times New Roman" w:eastAsia="仿宋_GB2312" w:cs="Times New Roman"/>
          <w:color w:val="auto"/>
          <w:spacing w:val="0"/>
          <w:kern w:val="2"/>
          <w:sz w:val="32"/>
          <w:szCs w:val="32"/>
          <w:highlight w:val="none"/>
          <w:lang w:val="en-US" w:eastAsia="zh-CN"/>
        </w:rPr>
        <w:t>学习强国、</w:t>
      </w:r>
      <w:r>
        <w:rPr>
          <w:rFonts w:hint="eastAsia" w:ascii="Times New Roman" w:hAnsi="Times New Roman" w:eastAsia="仿宋_GB2312" w:cs="Times New Roman"/>
          <w:color w:val="auto"/>
          <w:spacing w:val="0"/>
          <w:kern w:val="2"/>
          <w:sz w:val="32"/>
          <w:szCs w:val="32"/>
          <w:highlight w:val="none"/>
          <w:lang w:val="en-US" w:eastAsia="zh-CN"/>
        </w:rPr>
        <w:t>法律讲座</w:t>
      </w:r>
      <w:r>
        <w:rPr>
          <w:rFonts w:hint="default" w:ascii="Times New Roman" w:hAnsi="Times New Roman" w:eastAsia="仿宋_GB2312" w:cs="Times New Roman"/>
          <w:color w:val="auto"/>
          <w:spacing w:val="0"/>
          <w:kern w:val="2"/>
          <w:sz w:val="32"/>
          <w:szCs w:val="32"/>
          <w:highlight w:val="none"/>
          <w:lang w:val="en-US" w:eastAsia="zh-CN"/>
        </w:rPr>
        <w:t>等，重点学习业务知识</w:t>
      </w:r>
      <w:r>
        <w:rPr>
          <w:rFonts w:hint="eastAsia" w:ascii="Times New Roman" w:hAnsi="Times New Roman" w:eastAsia="仿宋_GB2312" w:cs="Times New Roman"/>
          <w:color w:val="auto"/>
          <w:spacing w:val="0"/>
          <w:kern w:val="2"/>
          <w:sz w:val="32"/>
          <w:szCs w:val="32"/>
          <w:highlight w:val="none"/>
          <w:lang w:val="en-US" w:eastAsia="zh-CN"/>
        </w:rPr>
        <w:t>，</w:t>
      </w:r>
      <w:r>
        <w:rPr>
          <w:rFonts w:hint="default" w:ascii="Times New Roman" w:hAnsi="Times New Roman" w:eastAsia="仿宋_GB2312" w:cs="Times New Roman"/>
          <w:color w:val="auto"/>
          <w:spacing w:val="0"/>
          <w:kern w:val="2"/>
          <w:sz w:val="32"/>
          <w:szCs w:val="32"/>
          <w:highlight w:val="none"/>
          <w:lang w:val="en-US" w:eastAsia="zh-CN"/>
        </w:rPr>
        <w:t>不断提高</w:t>
      </w:r>
      <w:r>
        <w:rPr>
          <w:rFonts w:hint="eastAsia" w:ascii="Times New Roman" w:hAnsi="Times New Roman" w:eastAsia="仿宋_GB2312" w:cs="Times New Roman"/>
          <w:color w:val="auto"/>
          <w:spacing w:val="0"/>
          <w:kern w:val="2"/>
          <w:sz w:val="32"/>
          <w:szCs w:val="32"/>
          <w:highlight w:val="none"/>
          <w:lang w:val="en-US" w:eastAsia="zh-CN"/>
        </w:rPr>
        <w:t>干部</w:t>
      </w:r>
      <w:r>
        <w:rPr>
          <w:rFonts w:hint="default" w:ascii="Times New Roman" w:hAnsi="Times New Roman" w:eastAsia="仿宋_GB2312" w:cs="Times New Roman"/>
          <w:color w:val="auto"/>
          <w:spacing w:val="0"/>
          <w:kern w:val="2"/>
          <w:sz w:val="32"/>
          <w:szCs w:val="32"/>
          <w:highlight w:val="none"/>
          <w:lang w:val="en-US" w:eastAsia="zh-CN"/>
        </w:rPr>
        <w:t>工作</w:t>
      </w:r>
      <w:r>
        <w:rPr>
          <w:rFonts w:hint="eastAsia" w:ascii="Times New Roman" w:hAnsi="Times New Roman" w:eastAsia="仿宋_GB2312" w:cs="Times New Roman"/>
          <w:color w:val="auto"/>
          <w:spacing w:val="0"/>
          <w:kern w:val="2"/>
          <w:sz w:val="32"/>
          <w:szCs w:val="32"/>
          <w:highlight w:val="none"/>
          <w:lang w:val="en-US" w:eastAsia="zh-CN"/>
        </w:rPr>
        <w:t>的规范化、法治政府化水平。</w:t>
      </w:r>
      <w:r>
        <w:rPr>
          <w:rFonts w:hint="eastAsia" w:ascii="Times New Roman" w:hAnsi="Times New Roman" w:eastAsia="仿宋_GB2312" w:cs="Times New Roman"/>
          <w:b/>
          <w:bCs/>
          <w:color w:val="auto"/>
          <w:spacing w:val="0"/>
          <w:kern w:val="2"/>
          <w:sz w:val="32"/>
          <w:szCs w:val="32"/>
          <w:highlight w:val="none"/>
          <w:lang w:val="en-US" w:eastAsia="zh-CN"/>
        </w:rPr>
        <w:t>二是</w:t>
      </w:r>
      <w:r>
        <w:rPr>
          <w:rFonts w:hint="eastAsia" w:ascii="仿宋_GB2312" w:eastAsia="仿宋_GB2312" w:cs="仿宋_GB2312"/>
          <w:sz w:val="32"/>
          <w:szCs w:val="32"/>
          <w:lang w:val="en-US" w:eastAsia="zh-CN"/>
        </w:rPr>
        <w:t>继续推进行政规范管理工作，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提高行政执法队伍的整体素质</w:t>
      </w:r>
      <w:r>
        <w:rPr>
          <w:rFonts w:hint="eastAsia" w:ascii="仿宋_GB2312" w:eastAsia="仿宋_GB2312" w:cs="仿宋_GB2312"/>
          <w:sz w:val="32"/>
          <w:szCs w:val="32"/>
          <w:lang w:val="en-US" w:eastAsia="zh-CN"/>
        </w:rPr>
        <w:t>，扩充执法队伍力量，积极强化法治政府意识、责任意识、服务意识，提升依法行政能力。</w:t>
      </w:r>
      <w:r>
        <w:rPr>
          <w:rFonts w:hint="eastAsia" w:ascii="Times New Roman" w:hAnsi="Times New Roman" w:eastAsia="仿宋_GB2312" w:cs="Times New Roman"/>
          <w:b/>
          <w:bCs/>
          <w:color w:val="auto"/>
          <w:spacing w:val="0"/>
          <w:kern w:val="2"/>
          <w:sz w:val="32"/>
          <w:szCs w:val="32"/>
          <w:highlight w:val="none"/>
          <w:lang w:val="en-US" w:eastAsia="zh-CN"/>
        </w:rPr>
        <w:t>三是</w:t>
      </w:r>
      <w:r>
        <w:rPr>
          <w:rFonts w:hint="eastAsia" w:ascii="仿宋_GB2312" w:eastAsia="仿宋_GB2312" w:cs="仿宋_GB2312"/>
          <w:sz w:val="32"/>
          <w:szCs w:val="32"/>
          <w:lang w:val="en-US" w:eastAsia="zh-CN"/>
        </w:rPr>
        <w:t>优化法治宣传力度。结合实际制定法治政府宣传计划，采用互联网+法治政府宣传的方式开展法治政府宣传，因人而异、因地制宜，根据群众需要精准开展法治建设教育，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提升全乡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“知法、懂法、用法”水平。</w:t>
      </w:r>
    </w:p>
    <w:p>
      <w:pPr>
        <w:jc w:val="center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乌苏市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吉尔格勒特郭楞蒙古民族乡人民政府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480" w:firstLineChars="1400"/>
        <w:jc w:val="left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2025年3月27日</w:t>
      </w:r>
    </w:p>
    <w:sectPr>
      <w:footerReference r:id="rId3" w:type="default"/>
      <w:pgSz w:w="11906" w:h="16838"/>
      <w:pgMar w:top="2098" w:right="1531" w:bottom="1984" w:left="1531" w:header="851" w:footer="1587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auto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3FF901D"/>
    <w:multiLevelType w:val="singleLevel"/>
    <w:tmpl w:val="33FF901D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VhMGI1ZmUzNGRlZTQ0OTEzMDRkNWVjMmRmNTBlNTIifQ=="/>
  </w:docVars>
  <w:rsids>
    <w:rsidRoot w:val="00000000"/>
    <w:rsid w:val="01840B37"/>
    <w:rsid w:val="071B41FB"/>
    <w:rsid w:val="09A247D0"/>
    <w:rsid w:val="11A92A87"/>
    <w:rsid w:val="12B7304A"/>
    <w:rsid w:val="24B27742"/>
    <w:rsid w:val="24E37A04"/>
    <w:rsid w:val="271649AE"/>
    <w:rsid w:val="296B3C6F"/>
    <w:rsid w:val="2B9C5457"/>
    <w:rsid w:val="2E2A6B4F"/>
    <w:rsid w:val="2F182494"/>
    <w:rsid w:val="2FA12DB4"/>
    <w:rsid w:val="303A20E7"/>
    <w:rsid w:val="31A61F30"/>
    <w:rsid w:val="39357D89"/>
    <w:rsid w:val="3C0A6842"/>
    <w:rsid w:val="465A2DDC"/>
    <w:rsid w:val="48904B42"/>
    <w:rsid w:val="4A8A173C"/>
    <w:rsid w:val="4C000E51"/>
    <w:rsid w:val="4CD420BB"/>
    <w:rsid w:val="5229427F"/>
    <w:rsid w:val="5325490E"/>
    <w:rsid w:val="53272FEA"/>
    <w:rsid w:val="53F36899"/>
    <w:rsid w:val="5DA23DFA"/>
    <w:rsid w:val="5E51678C"/>
    <w:rsid w:val="5E6F6901"/>
    <w:rsid w:val="614530CF"/>
    <w:rsid w:val="616443C8"/>
    <w:rsid w:val="61704058"/>
    <w:rsid w:val="658904F7"/>
    <w:rsid w:val="67491003"/>
    <w:rsid w:val="706202C3"/>
    <w:rsid w:val="739C24F5"/>
    <w:rsid w:val="75BB0F12"/>
    <w:rsid w:val="78574485"/>
    <w:rsid w:val="7A0068B9"/>
    <w:rsid w:val="7A1470F9"/>
    <w:rsid w:val="7A6A0DF5"/>
    <w:rsid w:val="7B7506B1"/>
    <w:rsid w:val="7EA25A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qFormat/>
    <w:uiPriority w:val="0"/>
    <w:pPr>
      <w:spacing w:before="104" w:after="104"/>
      <w:outlineLvl w:val="2"/>
    </w:pPr>
    <w:rPr>
      <w:rFonts w:eastAsia="黑体"/>
    </w:rPr>
  </w:style>
  <w:style w:type="character" w:default="1" w:styleId="6">
    <w:name w:val="Default Paragraph Font"/>
    <w:autoRedefine/>
    <w:semiHidden/>
    <w:qFormat/>
    <w:uiPriority w:val="0"/>
  </w:style>
  <w:style w:type="table" w:default="1" w:styleId="5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styleId="7">
    <w:name w:val="Strong"/>
    <w:basedOn w:val="6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1633</Words>
  <Characters>1671</Characters>
  <Lines>0</Lines>
  <Paragraphs>0</Paragraphs>
  <TotalTime>3</TotalTime>
  <ScaleCrop>false</ScaleCrop>
  <LinksUpToDate>false</LinksUpToDate>
  <CharactersWithSpaces>1676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2024-06-20T08:49:00Z</dcterms:created>
  <dc:creator>WEI SHAN</dc:creator>
  <cp:lastModifiedBy>喜文</cp:lastModifiedBy>
  <cp:lastPrinted>2025-03-27T11:53:00Z</cp:lastPrinted>
  <dcterms:modified xsi:type="dcterms:W3CDTF">2025-03-28T08:57:00Z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62F69AB82B234903BFCEFAB15AC368AD</vt:lpwstr>
  </property>
</Properties>
</file>