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jc w:val="center"/>
        <w:rPr>
          <w:rFonts w:hint="eastAsia" w:ascii="Times New Roman" w:hAnsi="方正小标宋简体" w:eastAsia="方正小标宋简体" w:cs="方正小标宋简体"/>
          <w:bCs/>
          <w:color w:val="000000"/>
          <w:sz w:val="44"/>
          <w:szCs w:val="44"/>
        </w:rPr>
      </w:pPr>
    </w:p>
    <w:p>
      <w:pPr>
        <w:keepNext w:val="0"/>
        <w:keepLines w:val="0"/>
        <w:pageBreakBefore w:val="0"/>
        <w:overflowPunct/>
        <w:topLinePunct w:val="0"/>
        <w:bidi w:val="0"/>
        <w:spacing w:line="52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2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2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不罚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4</w:t>
      </w:r>
      <w:r>
        <w:rPr>
          <w:rFonts w:hint="eastAsia" w:ascii="仿宋_GB2312" w:hAnsi="Times New Roman" w:eastAsia="仿宋_GB2312" w:cs="仿宋"/>
          <w:color w:val="000000"/>
          <w:sz w:val="32"/>
          <w:szCs w:val="32"/>
        </w:rPr>
        <w:t>号</w:t>
      </w:r>
    </w:p>
    <w:p>
      <w:pPr>
        <w:keepNext w:val="0"/>
        <w:keepLines w:val="0"/>
        <w:pageBreakBefore w:val="0"/>
        <w:overflowPunct/>
        <w:topLinePunct w:val="0"/>
        <w:bidi w:val="0"/>
        <w:snapToGrid w:val="0"/>
        <w:spacing w:line="520" w:lineRule="exact"/>
        <w:jc w:val="left"/>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z w:val="32"/>
          <w:szCs w:val="32"/>
          <w:lang w:val="en-US" w:eastAsia="zh-CN"/>
        </w:rPr>
        <w:t>乌苏市缘中园果蔬商店</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主体资格证照名称：《营业执照》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sz w:val="32"/>
          <w:szCs w:val="32"/>
          <w:lang w:val="en-US" w:eastAsia="zh-CN"/>
        </w:rPr>
        <w:t>92654202MA7A4R4F2E</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住所（住址） ：</w:t>
      </w:r>
      <w:r>
        <w:rPr>
          <w:rFonts w:hint="eastAsia" w:ascii="仿宋_GB2312" w:hAnsi="仿宋_GB2312" w:eastAsia="仿宋_GB2312" w:cs="仿宋_GB2312"/>
          <w:sz w:val="32"/>
          <w:szCs w:val="32"/>
          <w:lang w:eastAsia="zh-CN"/>
        </w:rPr>
        <w:t>新疆塔城地区乌苏市</w:t>
      </w:r>
      <w:r>
        <w:rPr>
          <w:rFonts w:hint="eastAsia" w:ascii="仿宋_GB2312" w:hAnsi="仿宋_GB2312" w:eastAsia="仿宋_GB2312" w:cs="仿宋_GB2312"/>
          <w:sz w:val="32"/>
          <w:szCs w:val="32"/>
          <w:lang w:val="en-US" w:eastAsia="zh-CN"/>
        </w:rPr>
        <w:t>南苑办事处塔城南路倾城小区306号</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 ：</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2025年1月6日，乌苏市市场监督管理局委托新疆维吾尔自治区科技资源共享服务中心对乌苏市缘中园果蔬商店销售的姜和辣椒进行食品安全监督抽检。2025年1月23日，我局收到新疆维吾尔自治区科技资源共享服务中心出具的抽检检验报告，编号为：NO:250109XC0001、NO:250109XC0003，姜和辣椒的检验结论均为：“经抽样检验，噻虫胺项目不符合GB 2763-2021《食品安全国家标准食品中农药最大残留限量》要求，检验结论为不合格。”。2025年1月24日，执法人员向当事人送达了《食品安全抽样检验结果通知书》，经现场检查上述批次的姜和辣椒均销售完毕，当事人在法定期限内未提出书面复检申请。当事人的上述行为涉嫌违反了《食用农产品市场销售质量安全监督管理办法》第十五条第一款和《中华人民共和国食品安全法》第三十四条第二项的规定，为进一步了解情况，经报局领导批准，于2025年2月17日立案，并指马国勇、祖木拉提对此案进行调查了解。本案已于2025年2月26日调查终结。 </w:t>
      </w:r>
      <w:r>
        <w:rPr>
          <w:rFonts w:hint="eastAsia" w:ascii="仿宋" w:hAnsi="仿宋" w:eastAsia="仿宋" w:cs="仿宋"/>
          <w:sz w:val="32"/>
          <w:szCs w:val="32"/>
          <w:u w:val="none"/>
          <w:lang w:val="zh-CN" w:eastAsia="zh-CN"/>
        </w:rPr>
        <w:t xml:space="preserve">    </w:t>
      </w:r>
      <w:r>
        <w:rPr>
          <w:rFonts w:hint="eastAsia" w:ascii="仿宋" w:hAnsi="仿宋" w:eastAsia="仿宋" w:cs="仿宋"/>
          <w:sz w:val="32"/>
          <w:szCs w:val="32"/>
          <w:u w:val="none"/>
          <w:lang w:val="en-US" w:eastAsia="zh-CN"/>
        </w:rPr>
        <w:t xml:space="preserve">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经查，2025年1月6日，乌苏市缘中园果蔬商店从乌苏市友好路市场内乌苏市侯红珍蔬菜摊购进姜1件共8公斤，进货价为每公斤15元共120元，销售价为每公斤</w:t>
      </w:r>
      <w:bookmarkStart w:id="0" w:name="OLE_LINK1"/>
      <w:r>
        <w:rPr>
          <w:rFonts w:hint="eastAsia" w:ascii="仿宋" w:hAnsi="仿宋" w:eastAsia="仿宋" w:cs="仿宋"/>
          <w:sz w:val="32"/>
          <w:szCs w:val="32"/>
          <w:u w:val="none"/>
          <w:lang w:val="en-US" w:eastAsia="zh-CN"/>
        </w:rPr>
        <w:t>19.5元</w:t>
      </w:r>
      <w:bookmarkEnd w:id="0"/>
      <w:r>
        <w:rPr>
          <w:rFonts w:hint="eastAsia" w:ascii="仿宋" w:hAnsi="仿宋" w:eastAsia="仿宋" w:cs="仿宋"/>
          <w:sz w:val="32"/>
          <w:szCs w:val="32"/>
          <w:u w:val="none"/>
          <w:lang w:val="en-US" w:eastAsia="zh-CN"/>
        </w:rPr>
        <w:t>；购进</w:t>
      </w:r>
      <w:bookmarkStart w:id="1" w:name="OLE_LINK2"/>
      <w:r>
        <w:rPr>
          <w:rFonts w:hint="eastAsia" w:ascii="仿宋" w:hAnsi="仿宋" w:eastAsia="仿宋" w:cs="仿宋"/>
          <w:sz w:val="32"/>
          <w:szCs w:val="32"/>
          <w:u w:val="none"/>
          <w:lang w:val="en-US" w:eastAsia="zh-CN"/>
        </w:rPr>
        <w:t>辣椒</w:t>
      </w:r>
      <w:bookmarkEnd w:id="1"/>
      <w:r>
        <w:rPr>
          <w:rFonts w:hint="eastAsia" w:ascii="仿宋" w:hAnsi="仿宋" w:eastAsia="仿宋" w:cs="仿宋"/>
          <w:sz w:val="32"/>
          <w:szCs w:val="32"/>
          <w:u w:val="none"/>
          <w:lang w:val="en-US" w:eastAsia="zh-CN"/>
        </w:rPr>
        <w:t>1件共10公斤，进货价为每公斤5元共50元，销售价为每公斤7.9元。2025年1月6日，在乌苏市市场监督管理局组织的食品安全监督抽样抽检工作中，委托新疆维吾尔自治区科技资源共享服务中心食品安全对乌苏市缘中园果蔬商店销售的姜和辣椒进行了抽检，姜的抽样基数为8kg，抽样样品数量为6kg，辣椒的抽样基数为10kg，抽样样品数量为6kg；经检验上述姜和辣椒检验结论为不合格。2025年1月24日，我局执法人员向当事人送达了新疆维吾尔自治区科技资源共享服务中心出具的编号为NO:250109XC0001、NO:250109XC0003的检验报告两份、食品安全抽检检验结果通知书、食品安全抽样复检和异议须知各二份，当事人对检验结果未提出异议并签字确认。经执法人员对当事人经营场所进行检查，该批次姜和辣椒已于2025年1月6全部销售完毕。当事人提供了该批次姜和辣椒的进货票据、姜和辣椒的检测合格证（编号为：NO：A0075169、NO：A0082939）、供货商的营业执照、经营者身份证复印件、进货查验记录等相关证明文件。该批抽检不合格姜</w:t>
      </w:r>
      <w:bookmarkStart w:id="2" w:name="OLE_LINK3"/>
      <w:r>
        <w:rPr>
          <w:rFonts w:hint="eastAsia" w:ascii="仿宋" w:hAnsi="仿宋" w:eastAsia="仿宋" w:cs="仿宋"/>
          <w:sz w:val="32"/>
          <w:szCs w:val="32"/>
          <w:u w:val="none"/>
          <w:lang w:val="en-US" w:eastAsia="zh-CN"/>
        </w:rPr>
        <w:t>的货值金额为19.5元/公斤</w:t>
      </w:r>
      <w:r>
        <w:rPr>
          <w:rFonts w:hint="default"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8公斤＝156元，</w:t>
      </w:r>
      <w:bookmarkEnd w:id="2"/>
      <w:r>
        <w:rPr>
          <w:rFonts w:hint="eastAsia" w:ascii="仿宋" w:hAnsi="仿宋" w:eastAsia="仿宋" w:cs="仿宋"/>
          <w:sz w:val="32"/>
          <w:szCs w:val="32"/>
          <w:u w:val="none"/>
          <w:lang w:val="en-US" w:eastAsia="zh-CN"/>
        </w:rPr>
        <w:t>不合格辣椒的货值金额为7.9元/公斤</w:t>
      </w:r>
      <w:r>
        <w:rPr>
          <w:rFonts w:hint="default"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 xml:space="preserve">10公斤＝79元，货值金额共计235元。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上述事实，主要有以下证据证明：</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bookmarkStart w:id="3" w:name="OLE_LINK4"/>
      <w:r>
        <w:rPr>
          <w:rFonts w:hint="eastAsia" w:ascii="仿宋" w:hAnsi="仿宋" w:eastAsia="仿宋" w:cs="仿宋"/>
          <w:sz w:val="32"/>
          <w:szCs w:val="32"/>
          <w:u w:val="none"/>
          <w:lang w:val="en-US" w:eastAsia="zh-CN"/>
        </w:rPr>
        <w:t>当事人提供的</w:t>
      </w:r>
      <w:bookmarkEnd w:id="3"/>
      <w:r>
        <w:rPr>
          <w:rFonts w:hint="eastAsia" w:ascii="仿宋" w:hAnsi="仿宋" w:eastAsia="仿宋" w:cs="仿宋"/>
          <w:sz w:val="32"/>
          <w:szCs w:val="32"/>
          <w:u w:val="none"/>
          <w:lang w:val="en-US" w:eastAsia="zh-CN"/>
        </w:rPr>
        <w:t xml:space="preserve">《营业执照》复印件1份，证明当事人经营主体资格；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2、当事人提供的经营者张</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u w:val="none"/>
          <w:lang w:val="en-US" w:eastAsia="zh-CN"/>
        </w:rPr>
        <w:t xml:space="preserve">身份证复印件1份，证明当事人身份信息与营业执照经营者登记信息一致；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3、新疆维吾尔自治区科技资源共享服务中心出具的编号为NO:250109XC0001、NO:250109XC0003的检验报告2份，食品安全抽检检验结果通知书、食品安全抽样复检和异议须知各2份，证明当事人经营农药残留超过食品安全标准限量的姜和辣椒的事实；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4、现场笔录1份，证明2025年1月24日我局执法人员向当事人送达抽检批次姜和辣椒《检验报告》的情况以及现场检查该批次姜和辣椒已销售完毕的事实；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5、询问笔录2份，笔录（一）证明当事人购进抽检批次姜和辣椒的渠道、数量、价格及销售情况和进货查验、索证索票情况；笔录（二）证明供货商乌苏市侯红珍蔬菜摊购进销售抽检批次姜和辣椒情况及索证索票、进货查验情况；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6、现场检查拍摄的照片1张、音像视频资料1份，证明执法人员经现场检查发现涉案批次姜和辣椒已销售完毕的事实；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7、当事人提供的供货商乌苏市侯红珍蔬菜摊营业执照、供货票据、姜和辣椒的检测合格证（编号为：NO：A0075169、NO：A0082939）、进货查验记录相关证明文件资料1份，证明当事人履行了进货查验义务的事实。</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本局于2025年3月18日依法向当事人送达了《行政处罚告知书》（塔乌市监不罚告字〔2025〕79号</w:t>
      </w:r>
      <w:r>
        <w:rPr>
          <w:rFonts w:hint="eastAsia" w:ascii="仿宋" w:hAnsi="仿宋" w:eastAsia="仿宋" w:cs="仿宋"/>
          <w:sz w:val="32"/>
          <w:szCs w:val="32"/>
          <w:highlight w:val="none"/>
          <w:u w:val="none"/>
          <w:lang w:val="en-US" w:eastAsia="zh-CN"/>
        </w:rPr>
        <w:t>）</w:t>
      </w:r>
      <w:r>
        <w:rPr>
          <w:rFonts w:hint="eastAsia" w:ascii="仿宋" w:hAnsi="仿宋" w:eastAsia="仿宋" w:cs="仿宋"/>
          <w:sz w:val="32"/>
          <w:szCs w:val="32"/>
          <w:u w:val="none"/>
          <w:lang w:val="en-US" w:eastAsia="zh-CN"/>
        </w:rPr>
        <w:t xml:space="preserve">，告知了当事人依法享有陈述、申辩权利，当事人在法定期限内未提出陈述、申辩，视为放弃此权利。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本局认为，当事人的上述行为违反了《食用农产品市场销售质量安全监督管理办法》第十五条第一款：“禁止销售者采购、销售</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"http://172.16.13.11:168/golaw?dbnm=gjfg&amp;flid=1116012021006027" \t "http://172.16.13.11:168/_blank" </w:instrText>
      </w:r>
      <w:r>
        <w:rPr>
          <w:rFonts w:hint="eastAsia" w:ascii="仿宋" w:hAnsi="仿宋" w:eastAsia="仿宋" w:cs="仿宋"/>
          <w:sz w:val="32"/>
          <w:szCs w:val="32"/>
          <w:u w:val="none"/>
          <w:lang w:val="en-US" w:eastAsia="zh-CN"/>
        </w:rPr>
        <w:fldChar w:fldCharType="separate"/>
      </w:r>
      <w:r>
        <w:rPr>
          <w:rFonts w:hint="eastAsia" w:ascii="仿宋" w:hAnsi="仿宋" w:eastAsia="仿宋" w:cs="仿宋"/>
          <w:sz w:val="32"/>
          <w:szCs w:val="32"/>
          <w:u w:val="none"/>
          <w:lang w:val="en-US" w:eastAsia="zh-CN"/>
        </w:rPr>
        <w:t>食品安全法</w:t>
      </w:r>
      <w:r>
        <w:rPr>
          <w:rFonts w:hint="eastAsia" w:ascii="仿宋" w:hAnsi="仿宋" w:eastAsia="仿宋" w:cs="仿宋"/>
          <w:sz w:val="32"/>
          <w:szCs w:val="32"/>
          <w:u w:val="none"/>
          <w:lang w:val="en-US" w:eastAsia="zh-CN"/>
        </w:rPr>
        <w:fldChar w:fldCharType="end"/>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"http://172.16.13.11:168/golaw?dbnm=gjfg&amp;flid=1116012021006027&amp;lknm=%b5%da%c8%fd%ca%ae%cb%c4%cc%f5" \l "law_firsthit" \t "http://172.16.13.11:168/_blank" </w:instrText>
      </w:r>
      <w:r>
        <w:rPr>
          <w:rFonts w:hint="eastAsia" w:ascii="仿宋" w:hAnsi="仿宋" w:eastAsia="仿宋" w:cs="仿宋"/>
          <w:sz w:val="32"/>
          <w:szCs w:val="32"/>
          <w:u w:val="none"/>
          <w:lang w:val="en-US" w:eastAsia="zh-CN"/>
        </w:rPr>
        <w:fldChar w:fldCharType="separate"/>
      </w:r>
      <w:r>
        <w:rPr>
          <w:rFonts w:hint="eastAsia" w:ascii="仿宋" w:hAnsi="仿宋" w:eastAsia="仿宋" w:cs="仿宋"/>
          <w:sz w:val="32"/>
          <w:szCs w:val="32"/>
          <w:u w:val="none"/>
          <w:lang w:val="en-US" w:eastAsia="zh-CN"/>
        </w:rPr>
        <w:t>第三十四条</w:t>
      </w:r>
      <w:r>
        <w:rPr>
          <w:rFonts w:hint="eastAsia" w:ascii="仿宋" w:hAnsi="仿宋" w:eastAsia="仿宋" w:cs="仿宋"/>
          <w:sz w:val="32"/>
          <w:szCs w:val="32"/>
          <w:u w:val="none"/>
          <w:lang w:val="en-US" w:eastAsia="zh-CN"/>
        </w:rPr>
        <w:fldChar w:fldCharType="end"/>
      </w:r>
      <w:r>
        <w:rPr>
          <w:rFonts w:hint="eastAsia" w:ascii="仿宋" w:hAnsi="仿宋" w:eastAsia="仿宋" w:cs="仿宋"/>
          <w:sz w:val="32"/>
          <w:szCs w:val="32"/>
          <w:u w:val="none"/>
          <w:lang w:val="en-US" w:eastAsia="zh-CN"/>
        </w:rPr>
        <w:t xml:space="preserve">规定情形的食用农产品。”和《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属违法行为。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鉴于当事人系初次违法，能积极配合市场监督管理部门的调查，如实陈述违法事实并主动提供证据材料，所购进的不合格姜和辣椒数量较少，并承诺在今后经营中守法经营，且当事人在进货时主动履行了进货查验、索证索票义务。当事人上述情况符合市场监管总局《市场监管轻微行政违法行为不予处罚清单（一）》“序号：1，违法行为类型：经营不符合食品安全标准的食用农产品；处罚依据：《食用农产品市场销售质量安全监督管理办法》第十五条第一款。免罚条件：1.非主观故意、食品不符合食品安全标准不是其造成的；2.能如实说明进货来源；3.未发生食品安全事故或未发生食源性疾病；4.立即自行改正或责令改正期间已改正；5.食品经营者在两年内第三次出现本类型违法行为的，不予免罚。”的规定，决定对当事人不予行政处罚。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依据《食用农产品市场销售质量安全监督管理办法》第四十二条：“销售者违反本办法第十五条规定，采购、销售</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"http://172.16.13.11:168/golaw?dbnm=gjfg&amp;flid=1116012021006027" \t "http://172.16.13.11:168/_blank" </w:instrText>
      </w:r>
      <w:r>
        <w:rPr>
          <w:rFonts w:hint="eastAsia" w:ascii="仿宋" w:hAnsi="仿宋" w:eastAsia="仿宋" w:cs="仿宋"/>
          <w:sz w:val="32"/>
          <w:szCs w:val="32"/>
          <w:u w:val="none"/>
          <w:lang w:val="en-US" w:eastAsia="zh-CN"/>
        </w:rPr>
        <w:fldChar w:fldCharType="separate"/>
      </w:r>
      <w:r>
        <w:rPr>
          <w:rFonts w:hint="eastAsia" w:ascii="仿宋" w:hAnsi="仿宋" w:eastAsia="仿宋" w:cs="仿宋"/>
          <w:sz w:val="32"/>
          <w:szCs w:val="32"/>
          <w:u w:val="none"/>
          <w:lang w:val="en-US" w:eastAsia="zh-CN"/>
        </w:rPr>
        <w:t>食品安全法</w:t>
      </w:r>
      <w:r>
        <w:rPr>
          <w:rFonts w:hint="eastAsia" w:ascii="仿宋" w:hAnsi="仿宋" w:eastAsia="仿宋" w:cs="仿宋"/>
          <w:sz w:val="32"/>
          <w:szCs w:val="32"/>
          <w:u w:val="none"/>
          <w:lang w:val="en-US" w:eastAsia="zh-CN"/>
        </w:rPr>
        <w:fldChar w:fldCharType="end"/>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"http://172.16.13.11:168/golaw?dbnm=gjfg&amp;flid=1116012021006027&amp;lknm=%b5%da%c8%fd%ca%ae%cb%c4%cc%f5" \l "law_firsthit" \t "http://172.16.13.11:168/_blank" </w:instrText>
      </w:r>
      <w:r>
        <w:rPr>
          <w:rFonts w:hint="eastAsia" w:ascii="仿宋" w:hAnsi="仿宋" w:eastAsia="仿宋" w:cs="仿宋"/>
          <w:sz w:val="32"/>
          <w:szCs w:val="32"/>
          <w:u w:val="none"/>
          <w:lang w:val="en-US" w:eastAsia="zh-CN"/>
        </w:rPr>
        <w:fldChar w:fldCharType="separate"/>
      </w:r>
      <w:r>
        <w:rPr>
          <w:rFonts w:hint="eastAsia" w:ascii="仿宋" w:hAnsi="仿宋" w:eastAsia="仿宋" w:cs="仿宋"/>
          <w:sz w:val="32"/>
          <w:szCs w:val="32"/>
          <w:u w:val="none"/>
          <w:lang w:val="en-US" w:eastAsia="zh-CN"/>
        </w:rPr>
        <w:t>第三十四条</w:t>
      </w:r>
      <w:r>
        <w:rPr>
          <w:rFonts w:hint="eastAsia" w:ascii="仿宋" w:hAnsi="仿宋" w:eastAsia="仿宋" w:cs="仿宋"/>
          <w:sz w:val="32"/>
          <w:szCs w:val="32"/>
          <w:u w:val="none"/>
          <w:lang w:val="en-US" w:eastAsia="zh-CN"/>
        </w:rPr>
        <w:fldChar w:fldCharType="end"/>
      </w:r>
      <w:r>
        <w:rPr>
          <w:rFonts w:hint="eastAsia" w:ascii="仿宋" w:hAnsi="仿宋" w:eastAsia="仿宋" w:cs="仿宋"/>
          <w:sz w:val="32"/>
          <w:szCs w:val="32"/>
          <w:u w:val="none"/>
          <w:lang w:val="en-US" w:eastAsia="zh-CN"/>
        </w:rPr>
        <w:t>规定情形的食用农产品的，由县级以上市场监督管理部门依照</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"http://172.16.13.11:168/golaw?dbnm=gjfg&amp;flid=1116012021006027" \t "http://172.16.13.11:168/_blank" </w:instrText>
      </w:r>
      <w:r>
        <w:rPr>
          <w:rFonts w:hint="eastAsia" w:ascii="仿宋" w:hAnsi="仿宋" w:eastAsia="仿宋" w:cs="仿宋"/>
          <w:sz w:val="32"/>
          <w:szCs w:val="32"/>
          <w:u w:val="none"/>
          <w:lang w:val="en-US" w:eastAsia="zh-CN"/>
        </w:rPr>
        <w:fldChar w:fldCharType="separate"/>
      </w:r>
      <w:r>
        <w:rPr>
          <w:rFonts w:hint="eastAsia" w:ascii="仿宋" w:hAnsi="仿宋" w:eastAsia="仿宋" w:cs="仿宋"/>
          <w:sz w:val="32"/>
          <w:szCs w:val="32"/>
          <w:u w:val="none"/>
          <w:lang w:val="en-US" w:eastAsia="zh-CN"/>
        </w:rPr>
        <w:t>食品安全法</w:t>
      </w:r>
      <w:r>
        <w:rPr>
          <w:rFonts w:hint="eastAsia" w:ascii="仿宋" w:hAnsi="仿宋" w:eastAsia="仿宋" w:cs="仿宋"/>
          <w:sz w:val="32"/>
          <w:szCs w:val="32"/>
          <w:u w:val="none"/>
          <w:lang w:val="en-US" w:eastAsia="zh-CN"/>
        </w:rPr>
        <w:fldChar w:fldCharType="end"/>
      </w:r>
      <w:r>
        <w:rPr>
          <w:rFonts w:hint="eastAsia" w:ascii="仿宋" w:hAnsi="仿宋" w:eastAsia="仿宋" w:cs="仿宋"/>
          <w:sz w:val="32"/>
          <w:szCs w:val="32"/>
          <w:u w:val="none"/>
          <w:lang w:val="en-US" w:eastAsia="zh-CN"/>
        </w:rPr>
        <w:t>有关规定给予处罚。”《</w:t>
      </w:r>
      <w:bookmarkStart w:id="4" w:name="_GoBack"/>
      <w:bookmarkEnd w:id="4"/>
      <w:r>
        <w:rPr>
          <w:rFonts w:hint="eastAsia" w:ascii="仿宋" w:hAnsi="仿宋" w:eastAsia="仿宋" w:cs="仿宋"/>
          <w:sz w:val="32"/>
          <w:szCs w:val="32"/>
          <w:u w:val="none"/>
          <w:lang w:val="en-US" w:eastAsia="zh-CN"/>
        </w:rPr>
        <w:t xml:space="preserve">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和《中华人民共和国行政处罚法》第三十三条第二款：“当事人有证据足以证明没有主观过错的，不予行政处罚。法律、行政法规另有规定的，从其规定。”的规定，责令当事人改正违法经营行为，决定对当事人不予行政处罚。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依据《中华人民共和国行政处罚法》第三十三条第三款：“ 对当事人的违法行为依法不予行政处罚的，行政机关应当对当事人进行教育。”的规定，对当事人进行教育，具体内容如下：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1、加强对《食用农产品市场销售质量安全监督管理办法》和《中华人民共和国食品安全法》等相关法律法规的学习，增强食品安全意识，切实保障消费者的合法权益；</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2、要求经营者落实经营主体责任，认真履行各项法律法规规定，合法合规经营。                                                                                                                     </w:t>
      </w:r>
    </w:p>
    <w:p>
      <w:pPr>
        <w:keepNext w:val="0"/>
        <w:keepLines w:val="0"/>
        <w:pageBreakBefore w:val="0"/>
        <w:widowControl w:val="0"/>
        <w:wordWrap/>
        <w:overflowPunct/>
        <w:topLinePunct w:val="0"/>
        <w:bidi w:val="0"/>
        <w:adjustRightInd/>
        <w:snapToGrid/>
        <w:spacing w:line="52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 w:hAnsi="仿宋" w:eastAsia="仿宋" w:cs="仿宋"/>
          <w:sz w:val="32"/>
          <w:szCs w:val="32"/>
          <w:u w:val="none"/>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160" w:firstLineChars="1300"/>
        <w:jc w:val="left"/>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160" w:firstLineChars="1300"/>
        <w:jc w:val="lef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800" w:firstLineChars="1500"/>
        <w:jc w:val="lef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2025年3月26日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left"/>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20" w:lineRule="exact"/>
        <w:ind w:right="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467F84"/>
    <w:rsid w:val="09553EBE"/>
    <w:rsid w:val="09555702"/>
    <w:rsid w:val="098F7F23"/>
    <w:rsid w:val="09E12ECE"/>
    <w:rsid w:val="0A857C32"/>
    <w:rsid w:val="0AE20D33"/>
    <w:rsid w:val="0EE37DCA"/>
    <w:rsid w:val="0EF35317"/>
    <w:rsid w:val="0F0622B9"/>
    <w:rsid w:val="0F801624"/>
    <w:rsid w:val="10A14B4C"/>
    <w:rsid w:val="10A92F65"/>
    <w:rsid w:val="11A05E8A"/>
    <w:rsid w:val="11EA1AF8"/>
    <w:rsid w:val="121E6BA8"/>
    <w:rsid w:val="125664A3"/>
    <w:rsid w:val="1423567C"/>
    <w:rsid w:val="145D0DF7"/>
    <w:rsid w:val="152E47B4"/>
    <w:rsid w:val="16204E16"/>
    <w:rsid w:val="16585A70"/>
    <w:rsid w:val="16693963"/>
    <w:rsid w:val="17C7216D"/>
    <w:rsid w:val="180608F8"/>
    <w:rsid w:val="196A273E"/>
    <w:rsid w:val="1A7044EC"/>
    <w:rsid w:val="1A7A1339"/>
    <w:rsid w:val="1E0400CE"/>
    <w:rsid w:val="1F0F621C"/>
    <w:rsid w:val="1F686C20"/>
    <w:rsid w:val="1F7A0C54"/>
    <w:rsid w:val="1FCE3F67"/>
    <w:rsid w:val="20D665F5"/>
    <w:rsid w:val="20FD69C2"/>
    <w:rsid w:val="210877A3"/>
    <w:rsid w:val="22584E48"/>
    <w:rsid w:val="24C90DA8"/>
    <w:rsid w:val="24C91C34"/>
    <w:rsid w:val="28BB338D"/>
    <w:rsid w:val="28C11895"/>
    <w:rsid w:val="292E7A15"/>
    <w:rsid w:val="2A610FB8"/>
    <w:rsid w:val="2AB74CA4"/>
    <w:rsid w:val="2B531CF4"/>
    <w:rsid w:val="2B923FF4"/>
    <w:rsid w:val="2DBF1448"/>
    <w:rsid w:val="2DF55F8C"/>
    <w:rsid w:val="2E000774"/>
    <w:rsid w:val="2EA90D14"/>
    <w:rsid w:val="2ED44E3C"/>
    <w:rsid w:val="30096F28"/>
    <w:rsid w:val="32CD00D9"/>
    <w:rsid w:val="331A413C"/>
    <w:rsid w:val="33616383"/>
    <w:rsid w:val="34073DEB"/>
    <w:rsid w:val="3520706F"/>
    <w:rsid w:val="354A77D2"/>
    <w:rsid w:val="35901325"/>
    <w:rsid w:val="360B0496"/>
    <w:rsid w:val="36F9315C"/>
    <w:rsid w:val="382D2AFA"/>
    <w:rsid w:val="3A134DE3"/>
    <w:rsid w:val="3A5D2691"/>
    <w:rsid w:val="3AF876D6"/>
    <w:rsid w:val="3D983A41"/>
    <w:rsid w:val="3DA61F21"/>
    <w:rsid w:val="3F9F7741"/>
    <w:rsid w:val="3FD974C5"/>
    <w:rsid w:val="40697227"/>
    <w:rsid w:val="40890EF5"/>
    <w:rsid w:val="409A7295"/>
    <w:rsid w:val="4116085D"/>
    <w:rsid w:val="429C17F4"/>
    <w:rsid w:val="43603BFF"/>
    <w:rsid w:val="455508C5"/>
    <w:rsid w:val="4675725E"/>
    <w:rsid w:val="468A35FB"/>
    <w:rsid w:val="476E4ED2"/>
    <w:rsid w:val="47735191"/>
    <w:rsid w:val="477928DC"/>
    <w:rsid w:val="47A70673"/>
    <w:rsid w:val="48E20AA3"/>
    <w:rsid w:val="4A79519E"/>
    <w:rsid w:val="4AC409CE"/>
    <w:rsid w:val="4AFE17EB"/>
    <w:rsid w:val="4B765F33"/>
    <w:rsid w:val="4CC7039B"/>
    <w:rsid w:val="4CEA34F6"/>
    <w:rsid w:val="4DED332E"/>
    <w:rsid w:val="4E3E3DDD"/>
    <w:rsid w:val="50A46C9E"/>
    <w:rsid w:val="50AB62EC"/>
    <w:rsid w:val="50DD53D1"/>
    <w:rsid w:val="51C2097F"/>
    <w:rsid w:val="53502AF7"/>
    <w:rsid w:val="53944067"/>
    <w:rsid w:val="53B77911"/>
    <w:rsid w:val="542824EB"/>
    <w:rsid w:val="543768EC"/>
    <w:rsid w:val="558E4ED8"/>
    <w:rsid w:val="56E20B19"/>
    <w:rsid w:val="59B14E01"/>
    <w:rsid w:val="5AA13D22"/>
    <w:rsid w:val="5AEC7C6E"/>
    <w:rsid w:val="5B0D79C9"/>
    <w:rsid w:val="5B7420A1"/>
    <w:rsid w:val="5C1A7537"/>
    <w:rsid w:val="5D58253C"/>
    <w:rsid w:val="5EC13EED"/>
    <w:rsid w:val="5EEF586D"/>
    <w:rsid w:val="5F627052"/>
    <w:rsid w:val="60230661"/>
    <w:rsid w:val="605204FF"/>
    <w:rsid w:val="63171ECD"/>
    <w:rsid w:val="63AB24FA"/>
    <w:rsid w:val="64684F43"/>
    <w:rsid w:val="65346325"/>
    <w:rsid w:val="65E60C7A"/>
    <w:rsid w:val="65EE7762"/>
    <w:rsid w:val="697961B6"/>
    <w:rsid w:val="699855F2"/>
    <w:rsid w:val="69A654DD"/>
    <w:rsid w:val="69A70EE8"/>
    <w:rsid w:val="69DE2D7C"/>
    <w:rsid w:val="6A5674CD"/>
    <w:rsid w:val="6A6B35A6"/>
    <w:rsid w:val="6AA62D1F"/>
    <w:rsid w:val="6AE61F48"/>
    <w:rsid w:val="6BAC37B5"/>
    <w:rsid w:val="6BEE6DF7"/>
    <w:rsid w:val="6D450054"/>
    <w:rsid w:val="6D522208"/>
    <w:rsid w:val="6E1D1CE3"/>
    <w:rsid w:val="6F9C4A3E"/>
    <w:rsid w:val="6FDE641B"/>
    <w:rsid w:val="706D17CA"/>
    <w:rsid w:val="70A806ED"/>
    <w:rsid w:val="70EB650A"/>
    <w:rsid w:val="714E38F1"/>
    <w:rsid w:val="71C54FAD"/>
    <w:rsid w:val="725270DA"/>
    <w:rsid w:val="740E1937"/>
    <w:rsid w:val="74651AA8"/>
    <w:rsid w:val="74A97CCB"/>
    <w:rsid w:val="75FC0202"/>
    <w:rsid w:val="77362928"/>
    <w:rsid w:val="77C45C0E"/>
    <w:rsid w:val="787E1660"/>
    <w:rsid w:val="78B8337F"/>
    <w:rsid w:val="79151323"/>
    <w:rsid w:val="79D02ECD"/>
    <w:rsid w:val="7BBA292E"/>
    <w:rsid w:val="7C471F46"/>
    <w:rsid w:val="7C595143"/>
    <w:rsid w:val="7CA73C2D"/>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autoRedefine/>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3023</Words>
  <Characters>3276</Characters>
  <Lines>7</Lines>
  <Paragraphs>7</Paragraphs>
  <TotalTime>1</TotalTime>
  <ScaleCrop>false</ScaleCrop>
  <LinksUpToDate>false</LinksUpToDate>
  <CharactersWithSpaces>3865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2025-02-17T03:12:00Z</cp:lastPrinted>
  <dcterms:modified xsi:type="dcterms:W3CDTF">2025-04-29T05:12:11Z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EEEE3B370DC9402AA93F35D13E210B2F</vt:lpwstr>
  </property>
  <property fmtid="{D5CDD505-2E9C-101B-9397-08002B2CF9AE}" pid="4" name="KSOTemplateDocerSaveRecord">
    <vt:lpwstr>eyJoZGlkIjoiMjhjYjA5MTE5ZDA4NTVkMjc4ZGUyZjQzZWU4NWQ2Y2YiLCJ1c2VySWQiOiI5NTE2MTA2NTAifQ==</vt:lpwstr>
  </property>
</Properties>
</file>