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u w:val="none" w:color="auto"/>
          <w:lang w:eastAsia="zh-CN"/>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乌苏市市场监督管理局</w:t>
      </w:r>
      <w:bookmarkEnd w:id="0"/>
      <w:bookmarkEnd w:id="1"/>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u w:val="none" w:color="auto"/>
          <w:lang w:eastAsia="zh-CN"/>
        </w:rPr>
      </w:pPr>
      <w:bookmarkStart w:id="2" w:name="_Toc76683364"/>
      <w:r>
        <w:rPr>
          <w:rFonts w:hint="eastAsia" w:ascii="方正小标宋简体" w:hAnsi="方正小标宋简体" w:eastAsia="方正小标宋简体" w:cs="方正小标宋简体"/>
          <w:sz w:val="44"/>
          <w:szCs w:val="44"/>
          <w:u w:val="none" w:color="auto"/>
          <w:lang w:eastAsia="zh-CN"/>
        </w:rPr>
        <w:t>行政处罚决定书</w:t>
      </w:r>
      <w:bookmarkEnd w:id="2"/>
    </w:p>
    <w:p>
      <w:pPr>
        <w:keepNext w:val="0"/>
        <w:keepLines w:val="0"/>
        <w:pageBreakBefore w:val="0"/>
        <w:widowControl/>
        <w:kinsoku/>
        <w:wordWrap/>
        <w:overflowPunct/>
        <w:topLinePunct w:val="0"/>
        <w:bidi w:val="0"/>
        <w:snapToGrid w:val="0"/>
        <w:spacing w:line="560" w:lineRule="exact"/>
        <w:ind w:right="55"/>
        <w:jc w:val="center"/>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仿宋_GB2312"/>
          <w:bCs/>
          <w:color w:val="000000"/>
          <w:sz w:val="32"/>
          <w:szCs w:val="32"/>
          <w:u w:val="none"/>
          <w:lang w:val="en-US" w:eastAsia="zh-CN"/>
        </w:rPr>
        <w:t>塔乌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
          <w:sz w:val="32"/>
          <w:szCs w:val="32"/>
          <w:u w:val="none"/>
        </w:rPr>
        <w:t>〔</w:t>
      </w:r>
      <w:r>
        <w:rPr>
          <w:rFonts w:hint="eastAsia" w:ascii="Times New Roman" w:hAnsi="Times New Roman" w:eastAsia="仿宋_GB2312" w:cs="仿宋"/>
          <w:sz w:val="32"/>
          <w:szCs w:val="32"/>
          <w:u w:val="none"/>
          <w:lang w:val="en-US" w:eastAsia="zh-CN"/>
        </w:rPr>
        <w:t>2025</w:t>
      </w:r>
      <w:r>
        <w:rPr>
          <w:rFonts w:hint="eastAsia" w:ascii="Times New Roman" w:hAnsi="Times New Roman" w:eastAsia="仿宋_GB2312" w:cs="仿宋"/>
          <w:sz w:val="32"/>
          <w:szCs w:val="32"/>
          <w:u w:val="none"/>
        </w:rPr>
        <w:t>〕</w:t>
      </w:r>
      <w:r>
        <w:rPr>
          <w:rFonts w:hint="eastAsia" w:ascii="Times New Roman" w:hAnsi="Times New Roman" w:eastAsia="仿宋_GB2312" w:cs="仿宋"/>
          <w:sz w:val="32"/>
          <w:szCs w:val="32"/>
          <w:u w:val="none"/>
          <w:lang w:val="en-US" w:eastAsia="zh-CN"/>
        </w:rPr>
        <w:t>60</w:t>
      </w:r>
      <w:r>
        <w:rPr>
          <w:rFonts w:hint="eastAsia" w:ascii="Times New Roman"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140" w:hanging="140"/>
        <w:textAlignment w:val="auto"/>
        <w:rPr>
          <w:rFonts w:hint="eastAsia" w:ascii="Times New Roman" w:hAnsi="Times New Roman" w:eastAsia="仿宋_GB2312" w:cs="Mongolian Baiti"/>
          <w:bCs/>
          <w:kern w:val="1"/>
          <w:sz w:val="32"/>
          <w:szCs w:val="32"/>
        </w:rPr>
      </w:pPr>
    </w:p>
    <w:p>
      <w:pPr>
        <w:keepNext w:val="0"/>
        <w:keepLines w:val="0"/>
        <w:pageBreakBefore w:val="0"/>
        <w:kinsoku/>
        <w:wordWrap/>
        <w:overflowPunct/>
        <w:topLinePunct w:val="0"/>
        <w:bidi w:val="0"/>
        <w:spacing w:line="560" w:lineRule="exact"/>
        <w:ind w:left="140" w:hanging="140"/>
        <w:textAlignment w:val="auto"/>
        <w:rPr>
          <w:rFonts w:hint="eastAsia" w:ascii="Times New Roman" w:hAnsi="Times New Roman" w:eastAsia="仿宋_GB2312" w:cs="Mongolian Baiti"/>
          <w:bCs/>
          <w:sz w:val="32"/>
          <w:szCs w:val="32"/>
        </w:rPr>
      </w:pPr>
      <w:r>
        <w:rPr>
          <w:rFonts w:hint="eastAsia" w:ascii="Times New Roman" w:hAnsi="Times New Roman" w:eastAsia="仿宋_GB2312" w:cs="Mongolian Baiti"/>
          <w:bCs/>
          <w:kern w:val="1"/>
          <w:sz w:val="32"/>
          <w:szCs w:val="32"/>
        </w:rPr>
        <w:t>当事人：</w:t>
      </w:r>
      <w:r>
        <w:rPr>
          <w:rFonts w:hint="default" w:ascii="Times New Roman" w:hAnsi="Times New Roman" w:eastAsia="仿宋_GB2312" w:cs="Times New Roman"/>
          <w:bCs/>
          <w:sz w:val="32"/>
          <w:szCs w:val="32"/>
          <w:lang w:eastAsia="zh-CN"/>
        </w:rPr>
        <w:t>乌苏市</w:t>
      </w:r>
      <w:r>
        <w:rPr>
          <w:rFonts w:hint="eastAsia" w:ascii="Times New Roman" w:hAnsi="Times New Roman" w:eastAsia="仿宋_GB2312" w:cs="Times New Roman"/>
          <w:bCs/>
          <w:sz w:val="32"/>
          <w:szCs w:val="32"/>
          <w:lang w:eastAsia="zh-CN"/>
        </w:rPr>
        <w:t>四棵树镇亚迪大药房</w:t>
      </w:r>
    </w:p>
    <w:p>
      <w:pPr>
        <w:keepNext w:val="0"/>
        <w:keepLines w:val="0"/>
        <w:pageBreakBefore w:val="0"/>
        <w:kinsoku/>
        <w:wordWrap/>
        <w:overflowPunct/>
        <w:topLinePunct w:val="0"/>
        <w:bidi w:val="0"/>
        <w:spacing w:line="560" w:lineRule="exact"/>
        <w:ind w:left="140" w:hanging="140"/>
        <w:textAlignment w:val="auto"/>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default"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bCs/>
          <w:sz w:val="32"/>
          <w:szCs w:val="32"/>
          <w:lang w:val="en-US" w:eastAsia="zh-CN"/>
        </w:rPr>
        <w:t>营业执照》《药品经营许可证》</w:t>
      </w:r>
    </w:p>
    <w:p>
      <w:pPr>
        <w:keepNext w:val="0"/>
        <w:keepLines w:val="0"/>
        <w:pageBreakBefore w:val="0"/>
        <w:kinsoku/>
        <w:wordWrap/>
        <w:overflowPunct/>
        <w:topLinePunct w:val="0"/>
        <w:bidi w:val="0"/>
        <w:spacing w:line="560" w:lineRule="exact"/>
        <w:ind w:left="140" w:hanging="140"/>
        <w:textAlignment w:val="auto"/>
        <w:rPr>
          <w:rFonts w:hint="default" w:ascii="Times New Roman" w:hAnsi="Times New Roman" w:eastAsia="仿宋_GB2312" w:cs="Mongolian Baiti"/>
          <w:kern w:val="1"/>
          <w:sz w:val="32"/>
          <w:szCs w:val="32"/>
          <w:u w:val="single"/>
          <w:lang w:val="en-US"/>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Times New Roman"/>
          <w:bCs/>
          <w:sz w:val="32"/>
          <w:szCs w:val="32"/>
          <w:lang w:val="en-US" w:eastAsia="zh-CN"/>
        </w:rPr>
        <w:t>91654202MA78DL7L11</w:t>
      </w: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pacing w:val="0"/>
          <w:sz w:val="32"/>
          <w:szCs w:val="32"/>
          <w:u w:val="none" w:color="auto"/>
          <w:lang w:val="en-US" w:eastAsia="zh-CN"/>
        </w:rPr>
      </w:pPr>
      <w:r>
        <w:rPr>
          <w:rFonts w:hint="eastAsia" w:ascii="Times New Roman" w:hAnsi="Times New Roman" w:eastAsia="仿宋_GB2312" w:cs="Mongolian Baiti"/>
          <w:kern w:val="1"/>
          <w:sz w:val="32"/>
          <w:szCs w:val="32"/>
        </w:rPr>
        <w:t>住址：</w:t>
      </w:r>
      <w:r>
        <w:rPr>
          <w:rFonts w:hint="eastAsia" w:ascii="Times New Roman" w:hAnsi="Times New Roman" w:eastAsia="仿宋_GB2312" w:cs="Times New Roman"/>
          <w:bCs/>
          <w:sz w:val="32"/>
          <w:szCs w:val="32"/>
          <w:lang w:val="en-US" w:eastAsia="zh-CN"/>
        </w:rPr>
        <w:t>乌苏市四棵树镇政府南侧商1幢10号</w:t>
      </w:r>
    </w:p>
    <w:p>
      <w:pPr>
        <w:keepNext w:val="0"/>
        <w:keepLines w:val="0"/>
        <w:pageBreakBefore w:val="0"/>
        <w:kinsoku/>
        <w:wordWrap/>
        <w:overflowPunct/>
        <w:topLinePunct w:val="0"/>
        <w:bidi w:val="0"/>
        <w:spacing w:line="560" w:lineRule="exact"/>
        <w:ind w:left="140" w:hanging="140"/>
        <w:textAlignment w:val="auto"/>
        <w:rPr>
          <w:rFonts w:hint="default" w:ascii="仿宋_GB2312" w:hAnsi="仿宋_GB2312" w:eastAsia="仿宋_GB2312" w:cs="仿宋_GB2312"/>
          <w:bCs/>
          <w:spacing w:val="0"/>
          <w:sz w:val="32"/>
          <w:szCs w:val="32"/>
          <w:u w:val="none" w:color="auto"/>
          <w:lang w:val="en-US" w:eastAsia="zh-CN"/>
        </w:rPr>
      </w:pPr>
      <w:r>
        <w:rPr>
          <w:rFonts w:hint="eastAsia" w:ascii="Times New Roman" w:hAnsi="Times New Roman" w:eastAsia="仿宋_GB2312" w:cs="Times New Roman"/>
          <w:bCs/>
          <w:sz w:val="32"/>
          <w:szCs w:val="32"/>
          <w:lang w:val="en-US" w:eastAsia="zh-CN"/>
        </w:rPr>
        <w:t>投资人</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李*</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2024年12月19日，我局执法人员接到乌苏市人民检察院《检察建议书》（乌苏市检行公建</w:t>
      </w:r>
      <w:r>
        <w:rPr>
          <w:rFonts w:hint="eastAsia" w:ascii="Times New Roman" w:hAnsi="Times New Roman" w:eastAsia="仿宋_GB2312" w:cs="仿宋"/>
          <w:sz w:val="32"/>
          <w:szCs w:val="32"/>
          <w:u w:val="none"/>
        </w:rPr>
        <w:t>〔</w:t>
      </w:r>
      <w:r>
        <w:rPr>
          <w:rFonts w:hint="eastAsia" w:ascii="Times New Roman" w:hAnsi="Times New Roman" w:eastAsia="仿宋_GB2312" w:cs="仿宋"/>
          <w:sz w:val="32"/>
          <w:szCs w:val="32"/>
          <w:u w:val="none"/>
          <w:lang w:val="en-US" w:eastAsia="zh-CN"/>
        </w:rPr>
        <w:t>2024</w:t>
      </w:r>
      <w:r>
        <w:rPr>
          <w:rFonts w:hint="eastAsia" w:ascii="Times New Roman" w:hAnsi="Times New Roman" w:eastAsia="仿宋_GB2312" w:cs="仿宋"/>
          <w:sz w:val="32"/>
          <w:szCs w:val="32"/>
          <w:u w:val="none"/>
        </w:rPr>
        <w:t>〕</w:t>
      </w:r>
      <w:r>
        <w:rPr>
          <w:rFonts w:hint="eastAsia" w:ascii="Times New Roman" w:hAnsi="Times New Roman" w:eastAsia="仿宋_GB2312" w:cs="Times New Roman"/>
          <w:bCs/>
          <w:sz w:val="32"/>
          <w:szCs w:val="32"/>
          <w:lang w:val="en-US" w:eastAsia="zh-CN"/>
        </w:rPr>
        <w:t>63号）</w:t>
      </w:r>
      <w:r>
        <w:rPr>
          <w:rFonts w:hint="eastAsia" w:ascii="仿宋_GB2312" w:hAnsi="仿宋_GB2312" w:eastAsia="仿宋_GB2312" w:cs="仿宋_GB2312"/>
          <w:bCs/>
          <w:sz w:val="32"/>
          <w:szCs w:val="32"/>
          <w:lang w:val="en-US" w:eastAsia="zh-CN"/>
        </w:rPr>
        <w:t>和相关案件线索材料，反馈</w:t>
      </w:r>
      <w:r>
        <w:rPr>
          <w:rFonts w:hint="eastAsia" w:ascii="Times New Roman" w:hAnsi="Times New Roman" w:eastAsia="仿宋_GB2312" w:cs="Times New Roman"/>
          <w:bCs/>
          <w:sz w:val="32"/>
          <w:szCs w:val="32"/>
          <w:lang w:val="en-US" w:eastAsia="zh-CN"/>
        </w:rPr>
        <w:t>乌苏市四棵树镇亚迪大药房存在处方药与非处方药混放问题。2024年12月24日，我局执法人员来到乌苏市四棵树镇亚迪大药房，该药房正常营业，执法人员向投资人李*出示行政执法证件说明来意后，在李*全程配合下依法对该经营场所进行了检查。执法人员在进门左手东北角最后一节非处方药柜台上发现处方药八宝惊风散、处方药更年安片与非处方药三金片混放； 在非处方药展示柜中发现处方药盐酸特比萘芬片、盐酸曲美他嗪片与非处方药布洛芬缓释胶囊混放；处方药盐酸曲美他片开架销售，生活用品与药品、药品与医疗器械、药品与消毒产品混放。执法人员现场抽查处方药品阿司匹林肠溶片，规格：100mg，批号：23030102，经现场调取进货票据与销售记录显示，共购进20盒，销售17盒，其中</w:t>
      </w:r>
      <w:r>
        <w:rPr>
          <w:rFonts w:hint="eastAsia" w:ascii="仿宋_GB2312" w:hAnsi="宋体" w:eastAsia="仿宋_GB2312"/>
          <w:sz w:val="32"/>
          <w:szCs w:val="32"/>
          <w:u w:val="none"/>
        </w:rPr>
        <w:t>开具处方签销售8盒</w:t>
      </w:r>
      <w:r>
        <w:rPr>
          <w:rFonts w:hint="eastAsia" w:ascii="仿宋_GB2312" w:hAnsi="宋体" w:eastAsia="仿宋_GB2312"/>
          <w:sz w:val="32"/>
          <w:szCs w:val="32"/>
          <w:u w:val="none"/>
          <w:lang w:eastAsia="zh-CN"/>
        </w:rPr>
        <w:t>，剩余</w:t>
      </w:r>
      <w:r>
        <w:rPr>
          <w:rFonts w:hint="eastAsia" w:ascii="仿宋_GB2312" w:hAnsi="宋体" w:eastAsia="仿宋_GB2312"/>
          <w:sz w:val="32"/>
          <w:szCs w:val="32"/>
          <w:u w:val="none"/>
          <w:lang w:val="en-US" w:eastAsia="zh-CN"/>
        </w:rPr>
        <w:t>9盒未按规定开具处方签销售且无销售记录</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当事人</w:t>
      </w:r>
      <w:r>
        <w:rPr>
          <w:rFonts w:hint="eastAsia" w:ascii="Times New Roman" w:hAnsi="Times New Roman" w:eastAsia="仿宋_GB2312" w:cs="Times New Roman"/>
          <w:bCs/>
          <w:sz w:val="32"/>
          <w:szCs w:val="32"/>
          <w:lang w:val="en-US" w:eastAsia="zh-CN"/>
        </w:rPr>
        <w:t>未做好药品销售记录、处方药与非处方药混放、药品与非药品、医疗器械未分开陈列、处方药开架销售的行为</w:t>
      </w:r>
      <w:r>
        <w:rPr>
          <w:rFonts w:hint="eastAsia" w:ascii="Times New Roman" w:hAnsi="Times New Roman" w:eastAsia="仿宋_GB2312" w:cs="Times New Roman"/>
          <w:sz w:val="32"/>
          <w:szCs w:val="32"/>
          <w:lang w:val="en-US" w:eastAsia="zh-CN"/>
        </w:rPr>
        <w:t>不符合</w:t>
      </w:r>
      <w:r>
        <w:rPr>
          <w:rFonts w:hint="default" w:ascii="Times New Roman" w:hAnsi="Times New Roman" w:eastAsia="仿宋_GB2312" w:cs="Times New Roman"/>
          <w:sz w:val="32"/>
          <w:szCs w:val="32"/>
          <w:lang w:val="en-US" w:eastAsia="zh-CN"/>
        </w:rPr>
        <w:t>《药品经营质量管理规范》第一百</w:t>
      </w:r>
      <w:r>
        <w:rPr>
          <w:rFonts w:hint="eastAsia" w:ascii="Times New Roman" w:hAnsi="Times New Roman" w:eastAsia="仿宋_GB2312" w:cs="Times New Roman"/>
          <w:sz w:val="32"/>
          <w:szCs w:val="32"/>
          <w:lang w:val="en-US" w:eastAsia="zh-CN"/>
        </w:rPr>
        <w:t>六十一</w:t>
      </w:r>
      <w:r>
        <w:rPr>
          <w:rFonts w:hint="default" w:ascii="Times New Roman" w:hAnsi="Times New Roman" w:eastAsia="仿宋_GB2312" w:cs="Times New Roman"/>
          <w:sz w:val="32"/>
          <w:szCs w:val="32"/>
          <w:lang w:val="en-US" w:eastAsia="zh-CN"/>
        </w:rPr>
        <w:t>条</w:t>
      </w:r>
      <w:r>
        <w:rPr>
          <w:rFonts w:hint="eastAsia" w:ascii="Times New Roman" w:hAnsi="Times New Roman" w:eastAsia="仿宋_GB2312" w:cs="Times New Roman"/>
          <w:sz w:val="32"/>
          <w:szCs w:val="32"/>
          <w:lang w:val="en-US" w:eastAsia="zh-CN"/>
        </w:rPr>
        <w:t>第一款第（三）（四）（十）项、第一百六十八条</w:t>
      </w:r>
      <w:r>
        <w:rPr>
          <w:rFonts w:hint="default" w:ascii="Times New Roman" w:hAnsi="Times New Roman" w:eastAsia="仿宋_GB2312" w:cs="Times New Roman"/>
          <w:sz w:val="32"/>
          <w:szCs w:val="32"/>
          <w:lang w:val="en-US" w:eastAsia="zh-CN"/>
        </w:rPr>
        <w:t>的规定</w:t>
      </w:r>
      <w:r>
        <w:rPr>
          <w:rFonts w:hint="eastAsia" w:ascii="Times New Roman" w:hAnsi="Times New Roman" w:eastAsia="仿宋_GB2312" w:cs="Times New Roman"/>
          <w:sz w:val="32"/>
          <w:szCs w:val="32"/>
          <w:lang w:val="en-US" w:eastAsia="zh-CN"/>
        </w:rPr>
        <w:t>；未凭处方销售处方药的行为违反了《</w:t>
      </w:r>
      <w:r>
        <w:rPr>
          <w:rFonts w:hint="eastAsia" w:ascii="仿宋_GB2312" w:hAnsi="仿宋_GB2312" w:eastAsia="仿宋_GB2312" w:cs="仿宋_GB2312"/>
          <w:color w:val="000000"/>
          <w:spacing w:val="0"/>
          <w:sz w:val="32"/>
          <w:szCs w:val="32"/>
          <w:lang w:val="en-US" w:eastAsia="zh-CN"/>
        </w:rPr>
        <w:t>药品经营和使用质量监督管理办法》第四十二条第一款的规定，</w:t>
      </w:r>
      <w:r>
        <w:rPr>
          <w:rFonts w:hint="default" w:ascii="Times New Roman" w:hAnsi="Times New Roman" w:eastAsia="仿宋_GB2312" w:cs="Times New Roman"/>
          <w:color w:val="auto"/>
          <w:sz w:val="32"/>
          <w:szCs w:val="32"/>
          <w:lang w:val="en-US" w:eastAsia="zh-CN"/>
        </w:rPr>
        <w:t>经报局领导批准，于202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日立案，并指派</w:t>
      </w:r>
      <w:r>
        <w:rPr>
          <w:rFonts w:hint="eastAsia" w:ascii="Times New Roman" w:hAnsi="Times New Roman" w:eastAsia="仿宋_GB2312" w:cs="Times New Roman"/>
          <w:color w:val="auto"/>
          <w:sz w:val="32"/>
          <w:szCs w:val="32"/>
          <w:lang w:val="en-US" w:eastAsia="zh-CN"/>
        </w:rPr>
        <w:t>崔光</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张建辉</w:t>
      </w:r>
      <w:bookmarkStart w:id="3" w:name="_GoBack"/>
      <w:bookmarkEnd w:id="3"/>
      <w:r>
        <w:rPr>
          <w:rFonts w:hint="default" w:ascii="Times New Roman" w:hAnsi="Times New Roman" w:eastAsia="仿宋_GB2312" w:cs="Times New Roman"/>
          <w:color w:val="auto"/>
          <w:sz w:val="32"/>
          <w:szCs w:val="32"/>
          <w:lang w:val="en-US" w:eastAsia="zh-CN"/>
        </w:rPr>
        <w:t>对此案进行调查了解。本案于202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lang w:eastAsia="zh-CN"/>
        </w:rPr>
        <w:t>经查，</w:t>
      </w:r>
      <w:r>
        <w:rPr>
          <w:rFonts w:hint="default" w:ascii="Times New Roman" w:hAnsi="Times New Roman"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日，我局执法人员在</w:t>
      </w:r>
      <w:r>
        <w:rPr>
          <w:rFonts w:hint="eastAsia" w:ascii="Times New Roman" w:hAnsi="Times New Roman" w:eastAsia="仿宋_GB2312" w:cs="Times New Roman"/>
          <w:bCs/>
          <w:sz w:val="32"/>
          <w:szCs w:val="32"/>
          <w:lang w:val="en-US" w:eastAsia="zh-CN"/>
        </w:rPr>
        <w:t>乌苏市四棵树镇亚迪大药房</w:t>
      </w:r>
      <w:r>
        <w:rPr>
          <w:rFonts w:hint="default" w:ascii="Times New Roman" w:hAnsi="Times New Roman" w:eastAsia="仿宋_GB2312" w:cs="Times New Roman"/>
          <w:sz w:val="32"/>
          <w:szCs w:val="32"/>
          <w:lang w:val="en-US" w:eastAsia="zh-CN"/>
        </w:rPr>
        <w:t>监督检查时，</w:t>
      </w:r>
      <w:r>
        <w:rPr>
          <w:rFonts w:hint="eastAsia" w:ascii="Times New Roman" w:hAnsi="Times New Roman" w:eastAsia="仿宋_GB2312" w:cs="Times New Roman"/>
          <w:bCs/>
          <w:sz w:val="32"/>
          <w:szCs w:val="32"/>
          <w:lang w:val="en-US" w:eastAsia="zh-CN"/>
        </w:rPr>
        <w:t>在进门左手东北角最后一节非处方药柜台上发现处方药八宝惊风散、处方药更年安片与非处方药三金片混放； 在非处方药展示柜中发现处方药盐酸特比萘芬片、盐酸曲美他嗪片与非处方药布洛芬缓释胶囊混放；处方药盐酸曲美他片开架销售，生活用品与药品混放，药品与医疗器械混放，药品与消毒产品混放。执法人员现场抽查处方药品阿司匹林肠溶片，规格：100mg，批号：23030102，经调取进货票据与销售记录显示，共购进20盒，销售17盒，其中</w:t>
      </w:r>
      <w:r>
        <w:rPr>
          <w:rFonts w:hint="eastAsia" w:ascii="仿宋_GB2312" w:hAnsi="宋体" w:eastAsia="仿宋_GB2312"/>
          <w:sz w:val="32"/>
          <w:szCs w:val="32"/>
          <w:u w:val="none"/>
        </w:rPr>
        <w:t>开具处方签销售8盒</w:t>
      </w:r>
      <w:r>
        <w:rPr>
          <w:rFonts w:hint="eastAsia" w:ascii="仿宋_GB2312" w:hAnsi="宋体" w:eastAsia="仿宋_GB2312"/>
          <w:sz w:val="32"/>
          <w:szCs w:val="32"/>
          <w:u w:val="none"/>
          <w:lang w:eastAsia="zh-CN"/>
        </w:rPr>
        <w:t>，剩余</w:t>
      </w:r>
      <w:r>
        <w:rPr>
          <w:rFonts w:hint="eastAsia" w:ascii="仿宋_GB2312" w:hAnsi="宋体" w:eastAsia="仿宋_GB2312"/>
          <w:sz w:val="32"/>
          <w:szCs w:val="32"/>
          <w:u w:val="none"/>
          <w:lang w:val="en-US" w:eastAsia="zh-CN"/>
        </w:rPr>
        <w:t>9盒未按规定开具处方签销售且无销售记录</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Cs/>
          <w:sz w:val="32"/>
          <w:szCs w:val="32"/>
          <w:lang w:val="en-US" w:eastAsia="zh-CN"/>
        </w:rPr>
        <w:t>另查明，2024年5月30日，我局执法人员对该大药房进行日常监督检查时，已对该大药房未做好药品销售记录、药品陈列处方药与非处方药混放、处方药开架销售的违法行为，当场下达《责令改正通知书》（乌市监责改〔2024〕530号），当事人现场签收。</w:t>
      </w:r>
      <w:r>
        <w:rPr>
          <w:rFonts w:hint="default" w:ascii="Times New Roman" w:hAnsi="Times New Roman" w:eastAsia="仿宋_GB2312" w:cs="Times New Roman"/>
          <w:sz w:val="32"/>
          <w:szCs w:val="32"/>
          <w:lang w:val="en-US" w:eastAsia="zh-CN"/>
        </w:rPr>
        <w:t>当事人已构成未遵守《药品经营质量管理规范》</w:t>
      </w:r>
      <w:r>
        <w:rPr>
          <w:rFonts w:hint="eastAsia" w:ascii="Times New Roman" w:hAnsi="Times New Roman" w:eastAsia="仿宋_GB2312" w:cs="Times New Roman"/>
          <w:sz w:val="32"/>
          <w:szCs w:val="32"/>
          <w:lang w:val="en-US" w:eastAsia="zh-CN"/>
        </w:rPr>
        <w:t>及</w:t>
      </w:r>
      <w:r>
        <w:rPr>
          <w:rFonts w:hint="eastAsia" w:ascii="仿宋_GB2312" w:hAnsi="仿宋_GB2312" w:eastAsia="仿宋_GB2312" w:cs="仿宋_GB2312"/>
          <w:color w:val="000000"/>
          <w:spacing w:val="0"/>
          <w:sz w:val="32"/>
          <w:szCs w:val="32"/>
          <w:lang w:val="en-US" w:eastAsia="zh-CN"/>
        </w:rPr>
        <w:t>《药品经营和使用质量监督管理办法》</w:t>
      </w:r>
      <w:r>
        <w:rPr>
          <w:rFonts w:hint="default" w:ascii="Times New Roman" w:hAnsi="Times New Roman" w:eastAsia="仿宋_GB2312" w:cs="Times New Roman"/>
          <w:bCs/>
          <w:sz w:val="32"/>
          <w:szCs w:val="32"/>
          <w:lang w:val="en-US" w:eastAsia="zh-CN"/>
        </w:rPr>
        <w:t>经营药品的违法行为。</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上述事实，主要有以下证据证明：</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当事人提供的《营业执照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》复印件各1份，证明当事人的主体经营资格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身份证复印件1份，由当事人提供，证明</w:t>
      </w:r>
      <w:r>
        <w:rPr>
          <w:rFonts w:hint="eastAsia" w:ascii="Times New Roman" w:hAnsi="Times New Roman" w:eastAsia="仿宋_GB2312" w:cs="Times New Roman"/>
          <w:color w:val="000000"/>
          <w:sz w:val="32"/>
          <w:szCs w:val="32"/>
          <w:u w:val="none"/>
          <w:lang w:val="en-US" w:eastAsia="zh-CN"/>
        </w:rPr>
        <w:t>该药房负责人</w:t>
      </w:r>
      <w:r>
        <w:rPr>
          <w:rFonts w:hint="default" w:ascii="Times New Roman" w:hAnsi="Times New Roman" w:eastAsia="仿宋_GB2312" w:cs="Times New Roman"/>
          <w:color w:val="000000"/>
          <w:sz w:val="32"/>
          <w:szCs w:val="32"/>
          <w:u w:val="none"/>
          <w:lang w:val="en-US" w:eastAsia="zh-CN"/>
        </w:rPr>
        <w:t>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核准的</w:t>
      </w:r>
      <w:r>
        <w:rPr>
          <w:rFonts w:hint="eastAsia" w:ascii="Times New Roman" w:hAnsi="Times New Roman" w:eastAsia="仿宋_GB2312" w:cs="Times New Roman"/>
          <w:color w:val="000000"/>
          <w:sz w:val="32"/>
          <w:szCs w:val="32"/>
          <w:lang w:eastAsia="zh-CN"/>
        </w:rPr>
        <w:t>信息</w:t>
      </w:r>
      <w:r>
        <w:rPr>
          <w:rFonts w:hint="default" w:ascii="Times New Roman" w:hAnsi="Times New Roman" w:eastAsia="仿宋_GB2312" w:cs="Times New Roman"/>
          <w:color w:val="000000"/>
          <w:sz w:val="32"/>
          <w:szCs w:val="32"/>
          <w:lang w:eastAsia="zh-CN"/>
        </w:rPr>
        <w:t>相符；</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sz w:val="32"/>
          <w:szCs w:val="32"/>
          <w:u w:val="none"/>
          <w:lang w:val="en-US" w:eastAsia="zh-CN"/>
        </w:rPr>
        <w:t>当事人提供的委托书和受委托人</w:t>
      </w:r>
      <w:r>
        <w:rPr>
          <w:rFonts w:hint="eastAsia" w:ascii="Times New Roman" w:hAnsi="Times New Roman" w:eastAsia="仿宋_GB2312" w:cs="Times New Roman"/>
          <w:sz w:val="32"/>
          <w:szCs w:val="32"/>
          <w:u w:val="none"/>
          <w:lang w:val="en-US" w:eastAsia="zh-CN"/>
        </w:rPr>
        <w:t>齐*</w:t>
      </w:r>
      <w:r>
        <w:rPr>
          <w:rFonts w:hint="default" w:ascii="Times New Roman" w:hAnsi="Times New Roman" w:eastAsia="仿宋_GB2312" w:cs="Times New Roman"/>
          <w:sz w:val="32"/>
          <w:szCs w:val="32"/>
          <w:u w:val="none"/>
          <w:lang w:val="en-US" w:eastAsia="zh-CN"/>
        </w:rPr>
        <w:t>身份证复印件各1份，证明委托人、受委托人的基本情况以及委托事项、权限、期限；</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证明执法人员于202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日在当事人经营场所现场检查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color w:val="000000"/>
          <w:sz w:val="32"/>
          <w:szCs w:val="32"/>
          <w:lang w:eastAsia="zh-CN"/>
        </w:rPr>
        <w:t>未遵守《药品经营质量管理规范》</w:t>
      </w:r>
      <w:r>
        <w:rPr>
          <w:rFonts w:hint="eastAsia" w:ascii="Times New Roman" w:hAnsi="Times New Roman" w:eastAsia="仿宋_GB2312" w:cs="Times New Roman"/>
          <w:color w:val="000000"/>
          <w:sz w:val="32"/>
          <w:szCs w:val="32"/>
          <w:lang w:eastAsia="zh-CN"/>
        </w:rPr>
        <w:t>和</w:t>
      </w:r>
      <w:r>
        <w:rPr>
          <w:rFonts w:hint="eastAsia" w:ascii="仿宋_GB2312" w:hAnsi="仿宋_GB2312" w:eastAsia="仿宋_GB2312" w:cs="仿宋_GB2312"/>
          <w:color w:val="000000"/>
          <w:spacing w:val="0"/>
          <w:sz w:val="32"/>
          <w:szCs w:val="32"/>
          <w:lang w:val="en-US" w:eastAsia="zh-CN"/>
        </w:rPr>
        <w:t>《药品经营和使用质量监督管理办法》</w:t>
      </w:r>
      <w:r>
        <w:rPr>
          <w:rFonts w:hint="default" w:ascii="Times New Roman" w:hAnsi="Times New Roman" w:eastAsia="仿宋_GB2312" w:cs="Times New Roman"/>
          <w:color w:val="000000"/>
          <w:sz w:val="32"/>
          <w:szCs w:val="32"/>
          <w:lang w:eastAsia="zh-CN"/>
        </w:rPr>
        <w:t>经营药品的事实；</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现场检查照片</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lang w:val="en-US" w:eastAsia="zh-CN"/>
        </w:rPr>
        <w:t>张，音像视频资料1份，证明2024年</w:t>
      </w:r>
      <w:r>
        <w:rPr>
          <w:rFonts w:hint="eastAsia" w:ascii="Times New Roman" w:hAnsi="Times New Roman" w:eastAsia="仿宋_GB2312" w:cs="Times New Roman"/>
          <w:sz w:val="32"/>
          <w:szCs w:val="32"/>
          <w:u w:val="none"/>
          <w:lang w:val="en-US" w:eastAsia="zh-CN"/>
        </w:rPr>
        <w:t>12</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none"/>
          <w:lang w:val="en-US" w:eastAsia="zh-CN"/>
        </w:rPr>
        <w:t>24</w:t>
      </w:r>
      <w:r>
        <w:rPr>
          <w:rFonts w:hint="default" w:ascii="Times New Roman" w:hAnsi="Times New Roman" w:eastAsia="仿宋_GB2312" w:cs="Times New Roman"/>
          <w:sz w:val="32"/>
          <w:szCs w:val="32"/>
          <w:u w:val="none"/>
          <w:lang w:val="en-US" w:eastAsia="zh-CN"/>
        </w:rPr>
        <w:t>日</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和当事人未遵守</w:t>
      </w:r>
      <w:r>
        <w:rPr>
          <w:rFonts w:hint="default" w:ascii="Times New Roman" w:hAnsi="Times New Roman" w:eastAsia="仿宋_GB2312" w:cs="Times New Roman"/>
          <w:sz w:val="32"/>
          <w:szCs w:val="32"/>
          <w:lang w:val="en-US" w:eastAsia="zh-CN"/>
        </w:rPr>
        <w:t>《药品经营质量管理规范》</w:t>
      </w:r>
      <w:r>
        <w:rPr>
          <w:rFonts w:hint="eastAsia" w:ascii="Times New Roman" w:hAnsi="Times New Roman" w:eastAsia="仿宋_GB2312" w:cs="Times New Roman"/>
          <w:sz w:val="32"/>
          <w:szCs w:val="32"/>
          <w:lang w:val="en-US" w:eastAsia="zh-CN"/>
        </w:rPr>
        <w:t>和</w:t>
      </w:r>
      <w:r>
        <w:rPr>
          <w:rFonts w:hint="eastAsia" w:ascii="仿宋_GB2312" w:hAnsi="仿宋_GB2312" w:eastAsia="仿宋_GB2312" w:cs="仿宋_GB2312"/>
          <w:color w:val="000000"/>
          <w:spacing w:val="0"/>
          <w:sz w:val="32"/>
          <w:szCs w:val="32"/>
          <w:lang w:val="en-US" w:eastAsia="zh-CN"/>
        </w:rPr>
        <w:t>《药品经营和使用质量监督管理办法》</w:t>
      </w:r>
      <w:r>
        <w:rPr>
          <w:rFonts w:hint="default" w:ascii="Times New Roman" w:hAnsi="Times New Roman" w:eastAsia="仿宋_GB2312" w:cs="Times New Roman"/>
          <w:sz w:val="32"/>
          <w:szCs w:val="32"/>
          <w:lang w:val="en-US" w:eastAsia="zh-CN"/>
        </w:rPr>
        <w:t>经营药品</w:t>
      </w:r>
      <w:r>
        <w:rPr>
          <w:rFonts w:hint="default" w:ascii="Times New Roman" w:hAnsi="Times New Roman" w:eastAsia="仿宋_GB2312" w:cs="Times New Roman"/>
          <w:sz w:val="32"/>
          <w:szCs w:val="32"/>
          <w:u w:val="none"/>
          <w:lang w:eastAsia="zh-CN"/>
        </w:rPr>
        <w:t>的事实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《责令改正通知书》（乌市监责改</w:t>
      </w:r>
      <w:r>
        <w:rPr>
          <w:rFonts w:hint="eastAsia" w:ascii="Times New Roman" w:hAnsi="Times New Roman" w:eastAsia="仿宋_GB2312" w:cs="Times New Roman"/>
          <w:sz w:val="32"/>
          <w:szCs w:val="32"/>
          <w:u w:val="none"/>
          <w:lang w:val="en-US" w:eastAsia="zh-CN"/>
        </w:rPr>
        <w:t>〔2024〕530号</w:t>
      </w:r>
      <w:r>
        <w:rPr>
          <w:rFonts w:hint="default" w:ascii="Times New Roman" w:hAnsi="Times New Roman" w:eastAsia="仿宋_GB2312" w:cs="Times New Roman"/>
          <w:sz w:val="32"/>
          <w:szCs w:val="32"/>
          <w:u w:val="none"/>
          <w:lang w:val="en-US" w:eastAsia="zh-CN"/>
        </w:rPr>
        <w:t>）1份，证明2024年</w:t>
      </w: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val="en-US" w:eastAsia="zh-CN"/>
        </w:rPr>
        <w:t>月</w:t>
      </w:r>
      <w:r>
        <w:rPr>
          <w:rFonts w:hint="eastAsia" w:ascii="Times New Roman" w:hAnsi="Times New Roman" w:eastAsia="仿宋_GB2312" w:cs="Times New Roman"/>
          <w:sz w:val="32"/>
          <w:szCs w:val="32"/>
          <w:u w:val="none"/>
          <w:lang w:val="en-US" w:eastAsia="zh-CN"/>
        </w:rPr>
        <w:t>30</w:t>
      </w:r>
      <w:r>
        <w:rPr>
          <w:rFonts w:hint="default" w:ascii="Times New Roman" w:hAnsi="Times New Roman" w:eastAsia="仿宋_GB2312" w:cs="Times New Roman"/>
          <w:sz w:val="32"/>
          <w:szCs w:val="32"/>
          <w:u w:val="none"/>
          <w:lang w:val="en-US" w:eastAsia="zh-CN"/>
        </w:rPr>
        <w:t>日，我局执法人员现场向当事人下达了《责令改正通知书》，责令当事人改正违法行为的事实。</w:t>
      </w:r>
    </w:p>
    <w:p>
      <w:pPr>
        <w:keepNext w:val="0"/>
        <w:keepLines w:val="0"/>
        <w:pageBreakBefore w:val="0"/>
        <w:widowControl w:val="0"/>
        <w:numPr>
          <w:ilvl w:val="0"/>
          <w:numId w:val="2"/>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提取的当事人药品管理系统处方签和销售记录截图8张，证明当事人未凭处方销售处方药阿司匹林肠溶片</w:t>
      </w:r>
      <w:r>
        <w:rPr>
          <w:rFonts w:hint="eastAsia" w:ascii="仿宋_GB2312" w:hAnsi="仿宋_GB2312" w:eastAsia="仿宋_GB2312" w:cs="仿宋_GB2312"/>
          <w:color w:val="000000"/>
          <w:spacing w:val="0"/>
          <w:sz w:val="32"/>
          <w:szCs w:val="32"/>
          <w:lang w:val="en-US" w:eastAsia="zh-CN"/>
        </w:rPr>
        <w:t>的事实。</w:t>
      </w:r>
    </w:p>
    <w:p>
      <w:pPr>
        <w:pStyle w:val="2"/>
        <w:keepNext w:val="0"/>
        <w:keepLines w:val="0"/>
        <w:pageBreakBefore w:val="0"/>
        <w:widowControl w:val="0"/>
        <w:tabs>
          <w:tab w:val="left" w:pos="9060"/>
        </w:tabs>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2025年3月19日向</w:t>
      </w:r>
      <w:r>
        <w:rPr>
          <w:rFonts w:hint="eastAsia" w:ascii="仿宋_GB2312" w:hAnsi="仿宋" w:eastAsia="仿宋_GB2312" w:cs="Mongolian Baiti"/>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eastAsia="zh-CN"/>
        </w:rPr>
        <w:t>号），告知了</w:t>
      </w:r>
      <w:r>
        <w:rPr>
          <w:rFonts w:hint="eastAsia" w:ascii="仿宋_GB2312" w:hAnsi="仿宋" w:eastAsia="仿宋_GB2312" w:cs="Mongolian Baiti"/>
          <w:spacing w:val="0"/>
          <w:kern w:val="1"/>
          <w:sz w:val="32"/>
          <w:szCs w:val="32"/>
          <w:lang w:val="en-US" w:eastAsia="zh-CN"/>
        </w:rPr>
        <w:t>当事人</w:t>
      </w:r>
      <w:r>
        <w:rPr>
          <w:rFonts w:hint="eastAsia" w:ascii="仿宋_GB2312" w:hAnsi="仿宋_GB2312" w:eastAsia="仿宋_GB2312" w:cs="仿宋_GB2312"/>
          <w:sz w:val="32"/>
          <w:szCs w:val="32"/>
          <w:lang w:eastAsia="zh-CN"/>
        </w:rPr>
        <w:t>依法享有的陈述、申辩的权利，</w:t>
      </w:r>
      <w:r>
        <w:rPr>
          <w:rFonts w:hint="eastAsia" w:ascii="仿宋_GB2312" w:hAnsi="仿宋" w:eastAsia="仿宋_GB2312" w:cs="Mongolian Baiti"/>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pacing w:val="0"/>
          <w:sz w:val="32"/>
          <w:szCs w:val="32"/>
          <w:lang w:val="en-US" w:eastAsia="zh-CN"/>
        </w:rPr>
        <w:t>本局认为，</w:t>
      </w:r>
      <w:r>
        <w:rPr>
          <w:rFonts w:hint="default" w:ascii="Times New Roman" w:hAnsi="Times New Roman" w:eastAsia="仿宋_GB2312" w:cs="Times New Roman"/>
          <w:color w:val="000000"/>
          <w:sz w:val="32"/>
          <w:szCs w:val="32"/>
          <w:lang w:val="en-US" w:eastAsia="zh-CN"/>
        </w:rPr>
        <w:t>当事人的上述行为</w:t>
      </w:r>
      <w:r>
        <w:rPr>
          <w:rFonts w:hint="eastAsia" w:ascii="Times New Roman" w:hAnsi="Times New Roman" w:eastAsia="仿宋_GB2312" w:cs="Times New Roman"/>
          <w:color w:val="000000"/>
          <w:sz w:val="32"/>
          <w:szCs w:val="32"/>
          <w:lang w:val="en-US" w:eastAsia="zh-CN"/>
        </w:rPr>
        <w:t>不符合</w:t>
      </w:r>
      <w:r>
        <w:rPr>
          <w:rFonts w:hint="default" w:ascii="Times New Roman" w:hAnsi="Times New Roman" w:eastAsia="仿宋_GB2312" w:cs="Times New Roman"/>
          <w:sz w:val="32"/>
          <w:szCs w:val="32"/>
          <w:lang w:val="en-US" w:eastAsia="zh-CN"/>
        </w:rPr>
        <w:t>《药品经营质量管理规范》第一百</w:t>
      </w: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十一条</w:t>
      </w:r>
      <w:r>
        <w:rPr>
          <w:rFonts w:hint="eastAsia" w:ascii="Times New Roman" w:hAnsi="Times New Roman" w:eastAsia="仿宋_GB2312" w:cs="Times New Roman"/>
          <w:sz w:val="32"/>
          <w:szCs w:val="32"/>
          <w:lang w:val="en-US" w:eastAsia="zh-CN"/>
        </w:rPr>
        <w:t>第三项、第四项、第十项：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药品的陈列应当符合以下要求：（三）处方药、非处方药分区陈列，并有处方药、非处方药专用标识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（四）处方药不得采用开架自选的方式陈列和销售。（十）经营非药品应当设置专区，与药品区域明显隔离，并有醒目标志。</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和第一百六十八条“企业销售药品应当开具销售凭证，内容包括药品名称、生产厂商、数量、价格、批号、规格等，并做好销售记录。”的规定，</w:t>
      </w:r>
      <w:r>
        <w:rPr>
          <w:rFonts w:hint="default" w:ascii="Times New Roman" w:hAnsi="Times New Roman" w:eastAsia="仿宋_GB2312" w:cs="Times New Roman"/>
          <w:color w:val="000000"/>
          <w:sz w:val="32"/>
          <w:szCs w:val="32"/>
          <w:lang w:val="en-US" w:eastAsia="zh-CN"/>
        </w:rPr>
        <w:t>违反</w:t>
      </w:r>
      <w:r>
        <w:rPr>
          <w:rFonts w:hint="eastAsia"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sz w:val="32"/>
          <w:szCs w:val="32"/>
          <w:lang w:val="en-US" w:eastAsia="zh-CN"/>
        </w:rPr>
        <w:t>《中华人民共和国药品管理法》第五十三条第一款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的规定，构成了未遵守《药品经营质量管理规范》经营药品的违法经营行为。</w:t>
      </w:r>
      <w:r>
        <w:rPr>
          <w:rFonts w:hint="eastAsia" w:ascii="仿宋_GB2312" w:hAnsi="仿宋_GB2312" w:eastAsia="仿宋_GB2312" w:cs="仿宋_GB2312"/>
          <w:color w:val="000000"/>
          <w:spacing w:val="0"/>
          <w:sz w:val="32"/>
          <w:szCs w:val="32"/>
          <w:lang w:val="en-US" w:eastAsia="zh-CN"/>
        </w:rPr>
        <w:t>当事人未凭处方销售处方药的行为，违反了《药品经营和使用质量监督管理办法》第四十二条第一款“药品零售企业应当遵守国家处方药与非处方药分类管理制度，按规定凭处方销售处方药，处方保留不少于五年。”的规定。</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bCs/>
          <w:color w:val="auto"/>
          <w:sz w:val="32"/>
          <w:szCs w:val="32"/>
          <w:lang w:val="en-US" w:eastAsia="zh-CN"/>
        </w:rPr>
        <w:t>鉴于当事人在案件办理过程</w:t>
      </w:r>
      <w:r>
        <w:rPr>
          <w:rFonts w:hint="eastAsia" w:ascii="Times New Roman" w:hAnsi="Times New Roman" w:eastAsia="仿宋_GB2312" w:cs="Times New Roman"/>
          <w:bCs/>
          <w:color w:val="auto"/>
          <w:sz w:val="32"/>
          <w:szCs w:val="32"/>
          <w:lang w:val="en-US" w:eastAsia="zh-CN"/>
        </w:rPr>
        <w:t>中</w:t>
      </w:r>
      <w:r>
        <w:rPr>
          <w:rFonts w:hint="default" w:ascii="Times New Roman" w:hAnsi="Times New Roman" w:eastAsia="仿宋_GB2312" w:cs="Times New Roman"/>
          <w:bCs/>
          <w:color w:val="auto"/>
          <w:sz w:val="32"/>
          <w:szCs w:val="32"/>
          <w:lang w:val="en-US" w:eastAsia="zh-CN"/>
        </w:rPr>
        <w:t>态度端正，积极主动配合执法人员调查取证，如实陈述违法事实，并主动提供证据材料且</w:t>
      </w:r>
      <w:r>
        <w:rPr>
          <w:rFonts w:hint="eastAsia" w:ascii="Times New Roman" w:hAnsi="Times New Roman" w:eastAsia="仿宋_GB2312" w:cs="Times New Roman"/>
          <w:bCs/>
          <w:color w:val="auto"/>
          <w:sz w:val="32"/>
          <w:szCs w:val="32"/>
          <w:lang w:val="en-US" w:eastAsia="zh-CN"/>
        </w:rPr>
        <w:t>积极改正违法行为</w:t>
      </w:r>
      <w:r>
        <w:rPr>
          <w:rFonts w:hint="default" w:ascii="Times New Roman" w:hAnsi="Times New Roman" w:eastAsia="仿宋_GB2312" w:cs="Times New Roman"/>
          <w:bCs/>
          <w:color w:val="auto"/>
          <w:sz w:val="32"/>
          <w:szCs w:val="32"/>
          <w:lang w:val="en-US" w:eastAsia="zh-CN"/>
        </w:rPr>
        <w:t>。</w:t>
      </w:r>
      <w:r>
        <w:rPr>
          <w:rFonts w:hint="eastAsia" w:ascii="仿宋_GB2312" w:hAnsi="仿宋_GB2312" w:eastAsia="仿宋_GB2312" w:cs="仿宋_GB2312"/>
          <w:bCs/>
          <w:sz w:val="32"/>
          <w:szCs w:val="32"/>
          <w:lang w:val="en-US" w:eastAsia="zh-CN"/>
        </w:rPr>
        <w:t>当事人上述情况符合《药品监督管理行政处罚裁量适用规则》第十一条第二项：“符合下列情形之一的，可以从轻或者减轻行政处罚：（二）积极配合药品监督管理部门调查，如实陈述违法事实并主动提供证据材料的；”的规定，</w:t>
      </w:r>
      <w:r>
        <w:rPr>
          <w:rFonts w:hint="eastAsia" w:ascii="仿宋_GB2312" w:hAnsi="仿宋_GB2312" w:eastAsia="仿宋_GB2312" w:cs="仿宋_GB2312"/>
          <w:sz w:val="32"/>
          <w:szCs w:val="32"/>
          <w:lang w:eastAsia="zh-CN"/>
        </w:rPr>
        <w:t>综合考虑个案情况、当事人客观情况等相关因素，坚持处罚与教育相结合的原则，</w:t>
      </w:r>
      <w:r>
        <w:rPr>
          <w:rFonts w:hint="eastAsia" w:ascii="Times New Roman" w:hAnsi="Times New Roman" w:eastAsia="仿宋_GB2312" w:cs="Times New Roman"/>
          <w:bCs/>
          <w:sz w:val="32"/>
          <w:szCs w:val="32"/>
          <w:lang w:val="en-US" w:eastAsia="zh-CN"/>
        </w:rPr>
        <w:t>决定</w:t>
      </w:r>
      <w:r>
        <w:rPr>
          <w:rFonts w:hint="eastAsia" w:ascii="仿宋_GB2312" w:hAnsi="仿宋_GB2312" w:eastAsia="仿宋_GB2312" w:cs="仿宋_GB2312"/>
          <w:color w:val="000000"/>
          <w:spacing w:val="0"/>
          <w:sz w:val="32"/>
          <w:szCs w:val="32"/>
          <w:lang w:val="en-US" w:eastAsia="zh-CN"/>
        </w:rPr>
        <w:t>对当事人</w:t>
      </w:r>
      <w:r>
        <w:rPr>
          <w:rFonts w:hint="default" w:ascii="Times New Roman" w:hAnsi="Times New Roman" w:eastAsia="仿宋_GB2312" w:cs="Times New Roman"/>
          <w:bCs/>
          <w:sz w:val="32"/>
          <w:szCs w:val="32"/>
          <w:lang w:val="en-US" w:eastAsia="zh-CN"/>
        </w:rPr>
        <w:t>未遵守《药品经营质量管理规范》经营药品</w:t>
      </w:r>
      <w:r>
        <w:rPr>
          <w:rFonts w:hint="eastAsia" w:ascii="Times New Roman" w:hAnsi="Times New Roman" w:eastAsia="仿宋_GB2312" w:cs="Times New Roman"/>
          <w:bCs/>
          <w:sz w:val="32"/>
          <w:szCs w:val="32"/>
          <w:lang w:val="en-US" w:eastAsia="zh-CN"/>
        </w:rPr>
        <w:t>的行为</w:t>
      </w:r>
      <w:r>
        <w:rPr>
          <w:rFonts w:hint="eastAsia" w:ascii="仿宋_GB2312" w:hAnsi="仿宋_GB2312" w:eastAsia="仿宋_GB2312" w:cs="仿宋_GB2312"/>
          <w:sz w:val="32"/>
          <w:szCs w:val="32"/>
          <w:lang w:eastAsia="zh-CN"/>
        </w:rPr>
        <w:t>给予减轻行政处罚。</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对当事人未按规定凭处方销售处方药的违法行为，依据《药品经营和使用质量监督管理办法》第七十二条第一项“药品零售企业有以下情形之一的，由药品监督管理部门责令限期改正；逾期不改正的，处五千元以上五万元以下罚款；造成危害后果的，处五万元以上二十万元以下罚款：（一）未按规定凭处方销售处方药的；”的规定，责令当事人改正违法经营行为。</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eastAsia" w:ascii="仿宋_GB2312" w:hAnsi="仿宋_GB2312" w:eastAsia="仿宋_GB2312" w:cs="仿宋_GB2312"/>
          <w:color w:val="000000"/>
          <w:spacing w:val="0"/>
          <w:sz w:val="32"/>
          <w:szCs w:val="32"/>
          <w:lang w:val="en-US" w:eastAsia="zh-CN"/>
        </w:rPr>
        <w:t>对当事人</w:t>
      </w:r>
      <w:r>
        <w:rPr>
          <w:rFonts w:hint="default" w:ascii="Times New Roman" w:hAnsi="Times New Roman" w:eastAsia="仿宋_GB2312" w:cs="Times New Roman"/>
          <w:bCs/>
          <w:sz w:val="32"/>
          <w:szCs w:val="32"/>
          <w:lang w:val="en-US" w:eastAsia="zh-CN"/>
        </w:rPr>
        <w:t>未遵守《药品经营质量管理规范》经营药品</w:t>
      </w:r>
      <w:r>
        <w:rPr>
          <w:rFonts w:hint="eastAsia" w:ascii="Times New Roman" w:hAnsi="Times New Roman" w:eastAsia="仿宋_GB2312" w:cs="Times New Roman"/>
          <w:bCs/>
          <w:sz w:val="32"/>
          <w:szCs w:val="32"/>
          <w:lang w:val="en-US" w:eastAsia="zh-CN"/>
        </w:rPr>
        <w:t>的</w:t>
      </w:r>
      <w:r>
        <w:rPr>
          <w:rFonts w:hint="eastAsia" w:ascii="仿宋_GB2312" w:hAnsi="仿宋_GB2312" w:eastAsia="仿宋_GB2312" w:cs="仿宋_GB2312"/>
          <w:color w:val="000000"/>
          <w:spacing w:val="0"/>
          <w:sz w:val="32"/>
          <w:szCs w:val="32"/>
          <w:lang w:val="en-US" w:eastAsia="zh-CN"/>
        </w:rPr>
        <w:t>违法行为，</w:t>
      </w: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w:t>
      </w:r>
      <w:r>
        <w:rPr>
          <w:rFonts w:hint="eastAsia" w:ascii="Times New Roman" w:hAnsi="Times New Roman" w:eastAsia="仿宋_GB2312" w:cs="Times New Roman"/>
          <w:bCs/>
          <w:sz w:val="32"/>
          <w:szCs w:val="32"/>
          <w:lang w:val="en-US" w:eastAsia="zh-CN"/>
        </w:rPr>
        <w:t>参照《</w:t>
      </w:r>
      <w:r>
        <w:rPr>
          <w:rFonts w:hint="eastAsia" w:ascii="仿宋_GB2312" w:hAnsi="仿宋_GB2312" w:eastAsia="仿宋_GB2312" w:cs="仿宋_GB2312"/>
          <w:b w:val="0"/>
          <w:i w:val="0"/>
          <w:color w:val="000000"/>
          <w:sz w:val="32"/>
          <w:szCs w:val="32"/>
          <w:lang w:val="en-US" w:eastAsia="zh-CN"/>
        </w:rPr>
        <w:t>新疆维吾尔自治区新疆生产建设兵团药品监督管理行政处罚裁量基准</w:t>
      </w:r>
      <w:r>
        <w:rPr>
          <w:rFonts w:hint="eastAsia" w:ascii="Times New Roman" w:hAnsi="Times New Roman" w:eastAsia="仿宋_GB2312" w:cs="Times New Roman"/>
          <w:bCs/>
          <w:sz w:val="32"/>
          <w:szCs w:val="32"/>
          <w:lang w:val="en-US" w:eastAsia="zh-CN"/>
        </w:rPr>
        <w:t>》“药品10：违法行为：违反《中华人民共和国药品管理法》</w:t>
      </w:r>
      <w:r>
        <w:rPr>
          <w:rFonts w:hint="default" w:ascii="Times New Roman" w:hAnsi="Times New Roman" w:eastAsia="仿宋_GB2312" w:cs="Times New Roman"/>
          <w:bCs/>
          <w:sz w:val="32"/>
          <w:szCs w:val="32"/>
          <w:lang w:eastAsia="zh-CN"/>
        </w:rPr>
        <w:t>第一百二十六条</w:t>
      </w:r>
      <w:r>
        <w:rPr>
          <w:rFonts w:hint="eastAsia" w:ascii="Times New Roman" w:hAnsi="Times New Roman" w:eastAsia="仿宋_GB2312" w:cs="Times New Roman"/>
          <w:bCs/>
          <w:sz w:val="32"/>
          <w:szCs w:val="32"/>
          <w:lang w:eastAsia="zh-CN"/>
        </w:rPr>
        <w:t>，裁量等级：减轻；裁量情节：一般情形：逾期不改的，处</w:t>
      </w:r>
      <w:r>
        <w:rPr>
          <w:rFonts w:hint="eastAsia" w:ascii="Times New Roman" w:hAnsi="Times New Roman" w:eastAsia="仿宋_GB2312" w:cs="Times New Roman"/>
          <w:bCs/>
          <w:sz w:val="32"/>
          <w:szCs w:val="32"/>
          <w:lang w:val="en-US" w:eastAsia="zh-CN"/>
        </w:rPr>
        <w:t>10万元以下罚款。”的规定，</w:t>
      </w:r>
      <w:r>
        <w:rPr>
          <w:rFonts w:hint="default" w:ascii="Times New Roman" w:hAnsi="Times New Roman" w:eastAsia="仿宋_GB2312" w:cs="Times New Roman"/>
          <w:bCs/>
          <w:sz w:val="32"/>
          <w:szCs w:val="32"/>
          <w:lang w:val="en-US" w:eastAsia="zh-CN"/>
        </w:rPr>
        <w:t>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对当事人作出如下处罚：</w:t>
      </w: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default" w:ascii="Times New Roman" w:hAnsi="Times New Roman" w:eastAsia="仿宋_GB2312" w:cs="Times New Roman"/>
          <w:bCs/>
          <w:sz w:val="32"/>
          <w:szCs w:val="32"/>
          <w:lang w:val="en-US" w:eastAsia="zh-CN"/>
        </w:rPr>
        <w:t>处</w:t>
      </w:r>
      <w:r>
        <w:rPr>
          <w:rFonts w:hint="eastAsia" w:ascii="Times New Roman" w:hAnsi="Times New Roman" w:eastAsia="仿宋_GB2312" w:cs="Times New Roman"/>
          <w:bCs/>
          <w:sz w:val="32"/>
          <w:szCs w:val="32"/>
          <w:lang w:val="en-US" w:eastAsia="zh-CN"/>
        </w:rPr>
        <w:t>2</w:t>
      </w:r>
      <w:r>
        <w:rPr>
          <w:rFonts w:hint="default" w:ascii="Times New Roman" w:hAnsi="Times New Roman" w:eastAsia="仿宋_GB2312" w:cs="Times New Roman"/>
          <w:bCs/>
          <w:sz w:val="32"/>
          <w:szCs w:val="32"/>
          <w:lang w:val="en-US" w:eastAsia="zh-CN"/>
        </w:rPr>
        <w:t>000元罚款。</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pPr>
      <w:r>
        <w:rPr>
          <w:rFonts w:hint="eastAsia" w:ascii="仿宋" w:hAnsi="仿宋" w:eastAsia="仿宋" w:cs="仿宋"/>
          <w:sz w:val="32"/>
          <w:szCs w:val="32"/>
          <w:u w:val="none"/>
        </w:rPr>
        <w:t>如不服本行政处罚决定，可以在收到本行政处罚决定书之日起六十日内向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也可以在六个月内依法向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ind w:right="-94" w:rightChars="0" w:firstLine="601"/>
        <w:jc w:val="center"/>
        <w:textAlignment w:val="auto"/>
        <w:rPr>
          <w:rFonts w:hint="eastAsia"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 xml:space="preserve">                    </w:t>
      </w:r>
    </w:p>
    <w:p>
      <w:pPr>
        <w:keepNext w:val="0"/>
        <w:keepLines w:val="0"/>
        <w:pageBreakBefore w:val="0"/>
        <w:kinsoku/>
        <w:wordWrap/>
        <w:overflowPunct/>
        <w:topLinePunct w:val="0"/>
        <w:bidi w:val="0"/>
        <w:spacing w:line="560" w:lineRule="exact"/>
        <w:ind w:right="-94" w:rightChars="0" w:firstLine="601"/>
        <w:jc w:val="center"/>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lang w:eastAsia="zh-CN"/>
        </w:rPr>
        <w:t>乌苏市</w:t>
      </w:r>
      <w:r>
        <w:rPr>
          <w:rFonts w:hint="eastAsia" w:ascii="Times New Roman" w:hAnsi="Times New Roman" w:eastAsia="仿宋_GB2312" w:cs="仿宋"/>
          <w:color w:val="000000"/>
          <w:sz w:val="32"/>
          <w:szCs w:val="32"/>
        </w:rPr>
        <w:t>市场监督管理局</w:t>
      </w:r>
    </w:p>
    <w:p>
      <w:pPr>
        <w:keepNext w:val="0"/>
        <w:keepLines w:val="0"/>
        <w:pageBreakBefore w:val="0"/>
        <w:kinsoku/>
        <w:wordWrap/>
        <w:overflowPunct/>
        <w:topLinePunct w:val="0"/>
        <w:bidi w:val="0"/>
        <w:spacing w:line="560" w:lineRule="exact"/>
        <w:ind w:right="640" w:firstLine="601"/>
        <w:jc w:val="center"/>
        <w:textAlignment w:val="auto"/>
        <w:outlineLvl w:val="1"/>
        <w:rPr>
          <w:rFonts w:hint="eastAsia" w:ascii="仿宋_GB2312"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3</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 xml:space="preserve">26 </w:t>
      </w:r>
      <w:r>
        <w:rPr>
          <w:rFonts w:hint="eastAsia" w:ascii="仿宋_GB2312" w:hAnsi="Times New Roman" w:eastAsia="仿宋_GB2312" w:cs="仿宋"/>
          <w:color w:val="000000"/>
          <w:sz w:val="32"/>
          <w:szCs w:val="32"/>
        </w:rPr>
        <w:t>日</w:t>
      </w:r>
    </w:p>
    <w:p>
      <w:pPr>
        <w:keepNext w:val="0"/>
        <w:keepLines w:val="0"/>
        <w:pageBreakBefore w:val="0"/>
        <w:kinsoku/>
        <w:wordWrap/>
        <w:overflowPunct/>
        <w:topLinePunct w:val="0"/>
        <w:bidi w:val="0"/>
        <w:spacing w:line="560" w:lineRule="exact"/>
        <w:ind w:right="640"/>
        <w:jc w:val="both"/>
        <w:textAlignment w:val="auto"/>
        <w:outlineLvl w:val="1"/>
        <w:rPr>
          <w:rFonts w:hint="eastAsia" w:ascii="仿宋_GB2312" w:hAnsi="Times New Roman" w:eastAsia="仿宋_GB2312" w:cs="仿宋"/>
          <w:color w:val="000000"/>
          <w:sz w:val="32"/>
          <w:szCs w:val="32"/>
          <w:lang w:eastAsia="zh-CN"/>
        </w:rPr>
      </w:pPr>
    </w:p>
    <w:p>
      <w:pPr>
        <w:keepNext w:val="0"/>
        <w:keepLines w:val="0"/>
        <w:pageBreakBefore w:val="0"/>
        <w:kinsoku/>
        <w:wordWrap/>
        <w:overflowPunct/>
        <w:topLinePunct w:val="0"/>
        <w:bidi w:val="0"/>
        <w:spacing w:line="560" w:lineRule="exact"/>
        <w:ind w:right="640"/>
        <w:jc w:val="both"/>
        <w:textAlignment w:val="auto"/>
        <w:outlineLvl w:val="1"/>
        <w:rPr>
          <w:rFonts w:hint="eastAsia" w:ascii="仿宋_GB2312" w:hAnsi="Times New Roman" w:eastAsia="仿宋_GB2312" w:cs="仿宋"/>
          <w:color w:val="000000"/>
          <w:sz w:val="32"/>
          <w:szCs w:val="32"/>
          <w:lang w:eastAsia="zh-CN"/>
        </w:rPr>
      </w:pPr>
    </w:p>
    <w:p>
      <w:pPr>
        <w:keepNext w:val="0"/>
        <w:keepLines w:val="0"/>
        <w:pageBreakBefore w:val="0"/>
        <w:kinsoku/>
        <w:wordWrap/>
        <w:overflowPunct/>
        <w:topLinePunct w:val="0"/>
        <w:bidi w:val="0"/>
        <w:spacing w:line="560" w:lineRule="exact"/>
        <w:ind w:right="640"/>
        <w:jc w:val="both"/>
        <w:textAlignment w:val="auto"/>
        <w:outlineLvl w:val="1"/>
        <w:rPr>
          <w:rFonts w:hint="eastAsia" w:ascii="仿宋_GB2312" w:hAnsi="Times New Roman" w:eastAsia="仿宋_GB2312" w:cs="仿宋"/>
          <w:color w:val="000000"/>
          <w:sz w:val="32"/>
          <w:szCs w:val="32"/>
          <w:lang w:eastAsia="zh-CN"/>
        </w:rPr>
      </w:pPr>
    </w:p>
    <w:p>
      <w:pPr>
        <w:keepNext w:val="0"/>
        <w:keepLines w:val="0"/>
        <w:pageBreakBefore w:val="0"/>
        <w:kinsoku/>
        <w:wordWrap/>
        <w:overflowPunct/>
        <w:topLinePunct w:val="0"/>
        <w:bidi w:val="0"/>
        <w:spacing w:line="560" w:lineRule="exact"/>
        <w:ind w:right="640"/>
        <w:jc w:val="both"/>
        <w:textAlignment w:val="auto"/>
        <w:outlineLvl w:val="1"/>
        <w:rPr>
          <w:rFonts w:hint="eastAsia" w:ascii="仿宋_GB2312" w:hAnsi="Times New Roman" w:eastAsia="仿宋_GB2312" w:cs="仿宋"/>
          <w:color w:val="000000"/>
          <w:sz w:val="32"/>
          <w:szCs w:val="32"/>
          <w:lang w:eastAsia="zh-CN"/>
        </w:rPr>
      </w:pPr>
    </w:p>
    <w:p>
      <w:pPr>
        <w:keepNext w:val="0"/>
        <w:keepLines w:val="0"/>
        <w:pageBreakBefore w:val="0"/>
        <w:kinsoku/>
        <w:wordWrap/>
        <w:overflowPunct/>
        <w:topLinePunct w:val="0"/>
        <w:bidi w:val="0"/>
        <w:spacing w:line="560" w:lineRule="exact"/>
        <w:ind w:right="640"/>
        <w:jc w:val="both"/>
        <w:textAlignment w:val="auto"/>
        <w:outlineLvl w:val="1"/>
        <w:rPr>
          <w:rFonts w:hint="eastAsia" w:ascii="仿宋_GB2312" w:hAnsi="Times New Roman" w:eastAsia="仿宋_GB2312" w:cs="仿宋"/>
          <w:color w:val="000000"/>
          <w:sz w:val="32"/>
          <w:szCs w:val="32"/>
          <w:lang w:eastAsia="zh-CN"/>
        </w:rPr>
      </w:pPr>
    </w:p>
    <w:p>
      <w:pPr>
        <w:keepNext w:val="0"/>
        <w:keepLines w:val="0"/>
        <w:pageBreakBefore w:val="0"/>
        <w:kinsoku/>
        <w:wordWrap/>
        <w:overflowPunct/>
        <w:topLinePunct w:val="0"/>
        <w:bidi w:val="0"/>
        <w:spacing w:line="560" w:lineRule="exact"/>
        <w:ind w:right="640"/>
        <w:jc w:val="both"/>
        <w:textAlignment w:val="auto"/>
        <w:outlineLvl w:val="1"/>
        <w:rPr>
          <w:rFonts w:hint="eastAsia" w:ascii="仿宋_GB2312" w:hAnsi="Times New Roman" w:eastAsia="仿宋_GB2312" w:cs="仿宋"/>
          <w:color w:val="000000"/>
          <w:sz w:val="32"/>
          <w:szCs w:val="32"/>
          <w:lang w:eastAsia="zh-CN"/>
        </w:rPr>
      </w:pPr>
    </w:p>
    <w:p>
      <w:pPr>
        <w:keepNext w:val="0"/>
        <w:keepLines w:val="0"/>
        <w:pageBreakBefore w:val="0"/>
        <w:kinsoku/>
        <w:wordWrap/>
        <w:overflowPunct/>
        <w:topLinePunct w:val="0"/>
        <w:bidi w:val="0"/>
        <w:spacing w:line="560" w:lineRule="exact"/>
        <w:ind w:right="640"/>
        <w:jc w:val="both"/>
        <w:textAlignment w:val="auto"/>
        <w:outlineLvl w:val="1"/>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60" w:lineRule="exact"/>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lvl>
  </w:abstractNum>
  <w:abstractNum w:abstractNumId="1">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88550DF"/>
    <w:rsid w:val="12003516"/>
    <w:rsid w:val="14F07C21"/>
    <w:rsid w:val="19C8581D"/>
    <w:rsid w:val="23A737DF"/>
    <w:rsid w:val="23D435D7"/>
    <w:rsid w:val="255802FD"/>
    <w:rsid w:val="27F6492F"/>
    <w:rsid w:val="2C992013"/>
    <w:rsid w:val="2EBB4E05"/>
    <w:rsid w:val="2FC67300"/>
    <w:rsid w:val="32CE4334"/>
    <w:rsid w:val="3383197A"/>
    <w:rsid w:val="366B0ACA"/>
    <w:rsid w:val="37227489"/>
    <w:rsid w:val="3F390295"/>
    <w:rsid w:val="3FEA111C"/>
    <w:rsid w:val="444051F9"/>
    <w:rsid w:val="4A405133"/>
    <w:rsid w:val="4B48191B"/>
    <w:rsid w:val="4D7164F3"/>
    <w:rsid w:val="4FF62C68"/>
    <w:rsid w:val="552B4AC9"/>
    <w:rsid w:val="56705A92"/>
    <w:rsid w:val="5F933EDA"/>
    <w:rsid w:val="62F435E7"/>
    <w:rsid w:val="64D4607B"/>
    <w:rsid w:val="6D24429C"/>
    <w:rsid w:val="74B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3438</Words>
  <Characters>3601</Characters>
  <Lines>0</Lines>
  <Paragraphs>0</Paragraphs>
  <TotalTime>15</TotalTime>
  <ScaleCrop>false</ScaleCrop>
  <LinksUpToDate>false</LinksUpToDate>
  <CharactersWithSpaces>3678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2025-03-26T04:05:00Z</cp:lastPrinted>
  <dcterms:modified xsi:type="dcterms:W3CDTF">2025-04-29T05:17:34Z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