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right="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40" w:lineRule="exact"/>
        <w:ind w:left="0" w:right="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40" w:lineRule="exact"/>
        <w:ind w:left="0" w:right="0"/>
        <w:jc w:val="center"/>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eastAsia="zh-CN"/>
        </w:rPr>
        <w:t>塔乌市监处罚</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65</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40" w:lineRule="exact"/>
        <w:ind w:left="0" w:right="0" w:firstLine="5440" w:firstLineChars="1700"/>
        <w:jc w:val="left"/>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autoSpaceDN/>
        <w:bidi w:val="0"/>
        <w:snapToGrid w:val="0"/>
        <w:spacing w:line="540" w:lineRule="exact"/>
        <w:ind w:right="0"/>
        <w:jc w:val="both"/>
        <w:rPr>
          <w:rFonts w:hint="eastAsia" w:ascii="仿宋_GB2312" w:hAnsi="仿宋_GB2312" w:eastAsia="仿宋_GB2312" w:cs="仿宋_GB2312"/>
          <w:bCs/>
          <w:spacing w:val="0"/>
          <w:sz w:val="32"/>
          <w:szCs w:val="32"/>
          <w:lang w:val="en-US"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pacing w:val="0"/>
          <w:sz w:val="32"/>
          <w:szCs w:val="32"/>
          <w:lang w:val="en-US" w:eastAsia="zh-CN"/>
        </w:rPr>
        <w:t>乌苏市沈派宴会厅</w:t>
      </w:r>
    </w:p>
    <w:p>
      <w:pPr>
        <w:keepNext w:val="0"/>
        <w:keepLines w:val="0"/>
        <w:pageBreakBefore w:val="0"/>
        <w:widowControl/>
        <w:kinsoku/>
        <w:wordWrap/>
        <w:overflowPunct/>
        <w:topLinePunct w:val="0"/>
        <w:autoSpaceDE/>
        <w:autoSpaceDN/>
        <w:bidi w:val="0"/>
        <w:snapToGrid w:val="0"/>
        <w:spacing w:line="540" w:lineRule="exact"/>
        <w:ind w:right="0"/>
        <w:jc w:val="both"/>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《营业执照》《食品经营许可证》</w:t>
      </w:r>
    </w:p>
    <w:p>
      <w:pPr>
        <w:keepNext w:val="0"/>
        <w:keepLines w:val="0"/>
        <w:pageBreakBefore w:val="0"/>
        <w:widowControl w:val="0"/>
        <w:kinsoku/>
        <w:wordWrap/>
        <w:overflowPunct/>
        <w:topLinePunct w:val="0"/>
        <w:autoSpaceDE/>
        <w:autoSpaceDN/>
        <w:bidi w:val="0"/>
        <w:snapToGrid/>
        <w:spacing w:line="540" w:lineRule="exact"/>
        <w:ind w:left="0" w:right="0"/>
        <w:jc w:val="both"/>
        <w:rPr>
          <w:rFonts w:hint="eastAsia" w:ascii="仿宋_GB2312" w:hAnsi="仿宋_GB2312" w:eastAsia="仿宋_GB2312" w:cs="仿宋_GB2312"/>
          <w:bCs/>
          <w:spacing w:val="0"/>
          <w:sz w:val="32"/>
          <w:szCs w:val="32"/>
          <w:lang w:val="en-US" w:eastAsia="zh-CN"/>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Cs/>
          <w:spacing w:val="0"/>
          <w:sz w:val="32"/>
          <w:szCs w:val="32"/>
          <w:lang w:val="en-US" w:eastAsia="zh-CN"/>
        </w:rPr>
        <w:t>92654202MABQ76RE1C</w:t>
      </w:r>
    </w:p>
    <w:p>
      <w:pPr>
        <w:keepNext w:val="0"/>
        <w:keepLines w:val="0"/>
        <w:pageBreakBefore w:val="0"/>
        <w:widowControl w:val="0"/>
        <w:kinsoku/>
        <w:wordWrap/>
        <w:overflowPunct/>
        <w:topLinePunct w:val="0"/>
        <w:autoSpaceDE/>
        <w:autoSpaceDN/>
        <w:bidi w:val="0"/>
        <w:snapToGrid/>
        <w:spacing w:line="540" w:lineRule="exact"/>
        <w:ind w:left="0" w:right="0"/>
        <w:jc w:val="both"/>
        <w:rPr>
          <w:rFonts w:hint="eastAsia" w:ascii="仿宋_GB2312" w:hAnsi="仿宋_GB2312" w:eastAsia="仿宋_GB2312" w:cs="仿宋_GB2312"/>
          <w:bCs/>
          <w:spacing w:val="0"/>
          <w:sz w:val="32"/>
          <w:szCs w:val="32"/>
          <w:lang w:val="en-US" w:eastAsia="zh-CN"/>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bCs/>
          <w:spacing w:val="0"/>
          <w:sz w:val="32"/>
          <w:szCs w:val="32"/>
          <w:lang w:val="en-US" w:eastAsia="zh-CN"/>
        </w:rPr>
        <w:t>新疆塔城地区乌苏市虹桥街道团结路社区塔里木河西</w:t>
      </w:r>
    </w:p>
    <w:p>
      <w:pPr>
        <w:keepNext w:val="0"/>
        <w:keepLines w:val="0"/>
        <w:pageBreakBefore w:val="0"/>
        <w:widowControl w:val="0"/>
        <w:kinsoku/>
        <w:wordWrap/>
        <w:overflowPunct/>
        <w:topLinePunct w:val="0"/>
        <w:autoSpaceDE/>
        <w:autoSpaceDN/>
        <w:bidi w:val="0"/>
        <w:adjustRightInd/>
        <w:snapToGrid/>
        <w:spacing w:line="540" w:lineRule="exact"/>
        <w:ind w:left="0" w:right="0" w:hanging="320" w:hangingChars="1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路1336号</w:t>
      </w:r>
    </w:p>
    <w:p>
      <w:pPr>
        <w:keepNext w:val="0"/>
        <w:keepLines w:val="0"/>
        <w:pageBreakBefore w:val="0"/>
        <w:widowControl w:val="0"/>
        <w:kinsoku/>
        <w:wordWrap/>
        <w:overflowPunct/>
        <w:topLinePunct w:val="0"/>
        <w:autoSpaceDE/>
        <w:autoSpaceDN/>
        <w:bidi w:val="0"/>
        <w:adjustRightInd/>
        <w:snapToGrid/>
        <w:spacing w:line="540" w:lineRule="exact"/>
        <w:ind w:left="0" w:right="0" w:hanging="320" w:hangingChars="1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bCs/>
          <w:spacing w:val="0"/>
          <w:sz w:val="32"/>
          <w:szCs w:val="32"/>
          <w:lang w:val="en-US" w:eastAsia="zh-CN"/>
        </w:rPr>
        <w:t>沈**</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pacing w:val="0"/>
          <w:sz w:val="32"/>
          <w:szCs w:val="32"/>
        </w:rPr>
      </w:pPr>
      <w:bookmarkStart w:id="3" w:name="OLE_LINK1"/>
      <w:r>
        <w:rPr>
          <w:rFonts w:hint="eastAsia" w:ascii="仿宋_GB2312" w:hAnsi="仿宋_GB2312" w:eastAsia="仿宋_GB2312" w:cs="仿宋_GB2312"/>
          <w:spacing w:val="0"/>
          <w:sz w:val="32"/>
          <w:szCs w:val="32"/>
          <w:lang w:val="en-US" w:eastAsia="zh-CN"/>
        </w:rPr>
        <w:t>2025年1月17日，</w:t>
      </w:r>
      <w:bookmarkEnd w:id="3"/>
      <w:r>
        <w:rPr>
          <w:rFonts w:hint="eastAsia" w:ascii="仿宋_GB2312" w:hAnsi="仿宋_GB2312" w:eastAsia="仿宋_GB2312" w:cs="仿宋_GB2312"/>
          <w:spacing w:val="0"/>
          <w:sz w:val="32"/>
          <w:szCs w:val="32"/>
          <w:lang w:val="en-US" w:eastAsia="zh-CN"/>
        </w:rPr>
        <w:t>我局执法人员别尔克、黄艳梅来到</w:t>
      </w:r>
      <w:r>
        <w:rPr>
          <w:rFonts w:hint="eastAsia" w:ascii="仿宋_GB2312" w:hAnsi="仿宋_GB2312" w:eastAsia="仿宋_GB2312" w:cs="仿宋_GB2312"/>
          <w:bCs/>
          <w:spacing w:val="0"/>
          <w:sz w:val="32"/>
          <w:szCs w:val="32"/>
          <w:lang w:val="en-US" w:eastAsia="zh-CN"/>
        </w:rPr>
        <w:t>乌苏市虹桥街道团结路社区塔里木河西路1336号</w:t>
      </w:r>
      <w:r>
        <w:rPr>
          <w:rFonts w:hint="eastAsia" w:ascii="仿宋_GB2312" w:hAnsi="仿宋_GB2312" w:eastAsia="仿宋_GB2312" w:cs="仿宋_GB2312"/>
          <w:spacing w:val="0"/>
          <w:sz w:val="32"/>
          <w:szCs w:val="32"/>
          <w:lang w:val="en-US" w:eastAsia="zh-CN"/>
        </w:rPr>
        <w:t>的</w:t>
      </w:r>
      <w:r>
        <w:rPr>
          <w:rFonts w:hint="eastAsia" w:ascii="仿宋_GB2312" w:hAnsi="仿宋_GB2312" w:eastAsia="仿宋_GB2312" w:cs="仿宋_GB2312"/>
          <w:bCs/>
          <w:spacing w:val="0"/>
          <w:sz w:val="32"/>
          <w:szCs w:val="32"/>
          <w:lang w:val="en-US" w:eastAsia="zh-CN"/>
        </w:rPr>
        <w:t>乌苏市沈派宴会厅</w:t>
      </w:r>
      <w:r>
        <w:rPr>
          <w:rFonts w:hint="eastAsia" w:ascii="仿宋_GB2312" w:hAnsi="仿宋_GB2312" w:eastAsia="仿宋_GB2312" w:cs="仿宋_GB2312"/>
          <w:spacing w:val="0"/>
          <w:sz w:val="32"/>
          <w:szCs w:val="32"/>
          <w:lang w:val="en-US" w:eastAsia="zh-CN"/>
        </w:rPr>
        <w:t>开展日常监督检查时该宴会厅正常营业，经营者</w:t>
      </w:r>
      <w:r>
        <w:rPr>
          <w:rFonts w:hint="eastAsia" w:ascii="仿宋_GB2312" w:hAnsi="仿宋_GB2312" w:eastAsia="仿宋_GB2312" w:cs="仿宋_GB2312"/>
          <w:bCs/>
          <w:spacing w:val="0"/>
          <w:sz w:val="32"/>
          <w:szCs w:val="32"/>
          <w:lang w:val="en-US" w:eastAsia="zh-CN"/>
        </w:rPr>
        <w:t>沈**不</w:t>
      </w:r>
      <w:r>
        <w:rPr>
          <w:rFonts w:hint="eastAsia" w:ascii="仿宋_GB2312" w:hAnsi="仿宋_GB2312" w:eastAsia="仿宋_GB2312" w:cs="仿宋_GB2312"/>
          <w:spacing w:val="0"/>
          <w:sz w:val="32"/>
          <w:szCs w:val="32"/>
          <w:lang w:val="en-US" w:eastAsia="zh-CN"/>
        </w:rPr>
        <w:t>在现场，电话委托其宴会厅经理马**全程配合检查，执法人员向该宴会厅经理马**出示了执法证件并说明来意后开展现场检查。执法人员在该宴会厅后堂操作区的冷藏柜里发现下列食品原料：</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 1 \* GB3 \* MERGEFORMAT </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①</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鸡精调味料1袋，已开封，称重剩余0.36kg，外包装显示净含量：1千克，生产日期：2023/03/16，保质期：二十个月，产品标准号：SB/T10371，生产商：新疆笑厨食品有限公司，地址：新疆昌吉州昌吉市大西渠镇闽昌工业园；</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 2 \* GB3 \* MERGEFORMAT </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②</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泰芝宝芝麻酱1桶，已开封，称重剩余2.69kg，外包装显示净含量：4kg，生产日期：2023/03/28，保质期：18个月，产品执行标准：Q/LBXT0006S，厂名：陕西绿宝鲜调味食品有限公司，厂址：陕西省咸阳市三原县香油工业园；</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 3 \* GB3 \* MERGEFORMAT </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③</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劲霸橙汁饮料浓浆1瓶，已开封，称重剩余0.5kg，外包装显示净含量：840毫升，生产日期：2024/01/5，保质期：12个月，产品标准号：Q/ZKSP0071S，生产商：广东嘉豪食品有限公司，地址中山市港口镇沙巷西路86号；</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 4 \* GB3 \* MERGEFORMAT </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④</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天车牌甜面酱1罐，未开封，外包装显示净含量：500克，生产日期：2023/08/22，保质期：十二个月，产品标准代号：SB/T10296，生产商：自贡市天味食品有限公司，地址：四川省自贡市自流井区光大姐双排坊3巷2号。上述四种食品原料均已超过保质期限，执法人员在烹饪区现场检查未发现使用上述四种超过保质期的食品原料，执法人员现场提取了上述四种食品原料供货商资质及进货票据。经报局领导批准，执法人员现场对上述超过保质期的四种食品原料，实施了扣押的行政强制措施（乌市监强制〔2025〕1号）。当事</w:t>
      </w:r>
      <w:r>
        <w:rPr>
          <w:rFonts w:hint="eastAsia" w:ascii="仿宋_GB2312" w:hAnsi="仿宋_GB2312" w:eastAsia="仿宋_GB2312" w:cs="仿宋_GB2312"/>
          <w:spacing w:val="0"/>
          <w:kern w:val="1"/>
          <w:sz w:val="32"/>
          <w:szCs w:val="32"/>
          <w:lang w:val="en-US" w:eastAsia="zh-CN"/>
        </w:rPr>
        <w:t>人</w:t>
      </w:r>
      <w:r>
        <w:rPr>
          <w:rFonts w:hint="eastAsia" w:ascii="仿宋_GB2312" w:hAnsi="仿宋_GB2312" w:eastAsia="仿宋_GB2312" w:cs="仿宋_GB2312"/>
          <w:bCs/>
          <w:spacing w:val="0"/>
          <w:sz w:val="32"/>
          <w:szCs w:val="32"/>
          <w:lang w:val="en-US" w:eastAsia="zh-CN"/>
        </w:rPr>
        <w:t>未及时清理超过保质期的食品原料的</w:t>
      </w:r>
      <w:r>
        <w:rPr>
          <w:rFonts w:hint="eastAsia" w:ascii="仿宋_GB2312" w:hAnsi="仿宋_GB2312" w:eastAsia="仿宋_GB2312" w:cs="仿宋_GB2312"/>
          <w:spacing w:val="0"/>
          <w:sz w:val="32"/>
          <w:szCs w:val="32"/>
          <w:lang w:val="en-US" w:eastAsia="zh-CN"/>
        </w:rPr>
        <w:t>行为涉嫌违反了《中华人民共和国食品安全法》第五十四条第一款、</w:t>
      </w:r>
      <w:r>
        <w:rPr>
          <w:rFonts w:hint="eastAsia" w:ascii="仿宋_GB2312" w:hAnsi="仿宋" w:eastAsia="仿宋_GB2312"/>
          <w:sz w:val="32"/>
          <w:szCs w:val="32"/>
          <w:lang w:eastAsia="zh-CN"/>
        </w:rPr>
        <w:t>《中华人民共和国食品安全法实施条例》第二十九条第一款</w:t>
      </w:r>
      <w:r>
        <w:rPr>
          <w:rFonts w:hint="eastAsia" w:ascii="仿宋_GB2312" w:hAnsi="仿宋_GB2312" w:eastAsia="仿宋_GB2312" w:cs="仿宋_GB2312"/>
          <w:spacing w:val="0"/>
          <w:sz w:val="32"/>
          <w:szCs w:val="32"/>
          <w:lang w:val="en-US" w:eastAsia="zh-CN"/>
        </w:rPr>
        <w:t>的规定，</w:t>
      </w:r>
      <w:r>
        <w:rPr>
          <w:rFonts w:hint="eastAsia" w:ascii="仿宋_GB2312" w:hAnsi="仿宋_GB2312" w:eastAsia="仿宋_GB2312" w:cs="仿宋_GB2312"/>
          <w:spacing w:val="0"/>
          <w:sz w:val="32"/>
          <w:szCs w:val="32"/>
        </w:rPr>
        <w:t>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20</w:t>
      </w:r>
      <w:r>
        <w:rPr>
          <w:rFonts w:hint="eastAsia" w:ascii="仿宋_GB2312" w:hAnsi="仿宋_GB2312" w:eastAsia="仿宋_GB2312" w:cs="仿宋_GB2312"/>
          <w:spacing w:val="0"/>
          <w:sz w:val="32"/>
          <w:szCs w:val="32"/>
        </w:rPr>
        <w:t>日立案，为进一步了解情况，指派</w:t>
      </w:r>
      <w:r>
        <w:rPr>
          <w:rFonts w:hint="eastAsia" w:ascii="仿宋_GB2312" w:hAnsi="仿宋_GB2312" w:eastAsia="仿宋_GB2312" w:cs="仿宋_GB2312"/>
          <w:spacing w:val="0"/>
          <w:sz w:val="32"/>
          <w:szCs w:val="32"/>
          <w:lang w:eastAsia="zh-CN"/>
        </w:rPr>
        <w:t>别尔克</w:t>
      </w:r>
      <w:r>
        <w:rPr>
          <w:rFonts w:hint="eastAsia" w:ascii="仿宋_GB2312" w:hAnsi="仿宋_GB2312" w:eastAsia="仿宋_GB2312" w:cs="仿宋_GB2312"/>
          <w:spacing w:val="0"/>
          <w:sz w:val="32"/>
          <w:szCs w:val="32"/>
          <w:lang w:val="en-US" w:eastAsia="zh-CN"/>
        </w:rPr>
        <w:t>·革命江</w:t>
      </w:r>
      <w:r>
        <w:rPr>
          <w:rFonts w:hint="eastAsia" w:ascii="仿宋_GB2312" w:hAnsi="仿宋_GB2312" w:eastAsia="仿宋_GB2312" w:cs="仿宋_GB2312"/>
          <w:spacing w:val="0"/>
          <w:sz w:val="32"/>
          <w:szCs w:val="32"/>
          <w:lang w:eastAsia="zh-CN"/>
        </w:rPr>
        <w:t>、李静</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3日</w:t>
      </w:r>
      <w:r>
        <w:rPr>
          <w:rFonts w:hint="eastAsia" w:ascii="仿宋_GB2312" w:hAnsi="仿宋_GB2312" w:eastAsia="仿宋_GB2312" w:cs="仿宋_GB2312"/>
          <w:spacing w:val="0"/>
          <w:sz w:val="32"/>
          <w:szCs w:val="32"/>
        </w:rPr>
        <w:t xml:space="preserve">调查终结。        </w:t>
      </w:r>
    </w:p>
    <w:p>
      <w:pPr>
        <w:keepNext w:val="0"/>
        <w:keepLines w:val="0"/>
        <w:pageBreakBefore w:val="0"/>
        <w:kinsoku/>
        <w:wordWrap/>
        <w:overflowPunct/>
        <w:topLinePunct w:val="0"/>
        <w:autoSpaceDE/>
        <w:autoSpaceDN/>
        <w:bidi w:val="0"/>
        <w:spacing w:line="540" w:lineRule="exact"/>
        <w:ind w:left="0" w:right="0" w:firstLine="640" w:firstLineChars="200"/>
        <w:jc w:val="both"/>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lang w:val="en-US" w:eastAsia="zh-CN"/>
        </w:rPr>
        <w:t>经查，2023年10月15日，乌苏市沈派宴会厅从昌吉市菜常青蔬菜配送中心以180元/件的价格共购进鸡精调味料一件（10袋/件），以240元/件的价格共购进泰芝宝芝麻酱1件（2桶/件），以120元/件的价格共购进天车牌甜面酱1件（10罐/件）；2024年1月12日该宴会厅从昌吉市菜常青蔬菜配送中心以265元/件的价格共购进劲霸橙汁饮料浓浆1件（10瓶/件）。截至2025年1月17日案发时，执法人员在后堂操作区的冷藏柜里发现：</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 1 \* GB3 \* MERGEFORMAT </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①</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鸡精调味料</w:t>
      </w:r>
      <w:r>
        <w:rPr>
          <w:rFonts w:hint="eastAsia" w:ascii="仿宋_GB2312" w:hAnsi="仿宋_GB2312" w:eastAsia="仿宋_GB2312" w:cs="仿宋_GB2312"/>
          <w:spacing w:val="0"/>
          <w:kern w:val="1"/>
          <w:sz w:val="32"/>
          <w:szCs w:val="32"/>
          <w:lang w:val="en-US" w:eastAsia="zh-CN"/>
        </w:rPr>
        <w:t>1袋（已开</w:t>
      </w:r>
      <w:r>
        <w:rPr>
          <w:rFonts w:hint="eastAsia" w:ascii="仿宋_GB2312" w:hAnsi="仿宋_GB2312" w:eastAsia="仿宋_GB2312" w:cs="仿宋_GB2312"/>
          <w:spacing w:val="0"/>
          <w:sz w:val="32"/>
          <w:szCs w:val="32"/>
          <w:lang w:val="en-US" w:eastAsia="zh-CN"/>
        </w:rPr>
        <w:t>封，称重：0.36kg）</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sz w:val="32"/>
          <w:szCs w:val="32"/>
          <w:lang w:val="en-US" w:eastAsia="zh-CN"/>
        </w:rPr>
        <w:t>已超过保质</w:t>
      </w:r>
      <w:r>
        <w:rPr>
          <w:rFonts w:hint="eastAsia" w:ascii="仿宋_GB2312" w:hAnsi="仿宋_GB2312" w:eastAsia="仿宋_GB2312" w:cs="仿宋_GB2312"/>
          <w:spacing w:val="0"/>
          <w:kern w:val="1"/>
          <w:sz w:val="32"/>
          <w:szCs w:val="32"/>
          <w:lang w:val="en-US" w:eastAsia="zh-CN"/>
        </w:rPr>
        <w:t>期61天，</w:t>
      </w:r>
      <w:r>
        <w:rPr>
          <w:rFonts w:hint="eastAsia" w:ascii="仿宋_GB2312" w:hAnsi="仿宋_GB2312" w:eastAsia="仿宋_GB2312" w:cs="仿宋_GB2312"/>
          <w:spacing w:val="0"/>
          <w:sz w:val="32"/>
          <w:szCs w:val="32"/>
          <w:lang w:val="en-US" w:eastAsia="zh-CN"/>
        </w:rPr>
        <w:t>标签标示净含量：1千克，生产日期：2023/03/16，保质期：二十个月，产品标准号：SB/T10371，生产商：新疆笑厨食品有限公司，地址：新疆昌吉州昌吉市大西渠镇闽昌工业园；</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 2 \* GB3 \* MERGEFORMAT </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②</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泰芝宝芝麻酱</w:t>
      </w:r>
      <w:r>
        <w:rPr>
          <w:rFonts w:hint="eastAsia" w:ascii="仿宋_GB2312" w:hAnsi="仿宋_GB2312" w:eastAsia="仿宋_GB2312" w:cs="仿宋_GB2312"/>
          <w:spacing w:val="0"/>
          <w:kern w:val="1"/>
          <w:sz w:val="32"/>
          <w:szCs w:val="32"/>
          <w:lang w:val="en-US" w:eastAsia="zh-CN"/>
        </w:rPr>
        <w:t>1桶</w:t>
      </w:r>
      <w:r>
        <w:rPr>
          <w:rFonts w:hint="eastAsia" w:ascii="仿宋_GB2312" w:hAnsi="仿宋_GB2312" w:eastAsia="仿宋_GB2312" w:cs="仿宋_GB2312"/>
          <w:spacing w:val="0"/>
          <w:sz w:val="32"/>
          <w:szCs w:val="32"/>
          <w:lang w:val="en-US" w:eastAsia="zh-CN"/>
        </w:rPr>
        <w:t>（已开封，称重：2.69kg），已超过保质期110天，标签标示净含量：4kg，生产日期：2023/03/28，保质期：18个月，产品执行标准：Q/LBXT0006S，厂名：陕西绿宝鲜调味食品有限公司，厂址：陕西省咸阳市三原县香油工业园；</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 3 \* GB3 \* MERGEFORMAT </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③</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天车牌甜面酱1罐（未开封），已超过保质期147天，标签标示净含量：500克，生产日期：2023/08/22，保质期：十二个月，产品标准代号：SB/T10296，生产商：自贡市天味食品有限公司，地址：四川省自贡市自流井区光大姐双排坊3巷2号；</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 4 \* GB3 \* MERGEFORMAT </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④</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劲霸橙汁饮料浓浆1瓶（已开封，称重：0.5kg），已超过保质期12天，标签标示净含量：840毫升，生产日期：2024/01/5，保质期：12个月，产品标准号：Q/ZKSP0071S，生产商：广东嘉豪食品有限公司，地址中山市港口镇沙巷西路86号</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sz w:val="32"/>
          <w:szCs w:val="32"/>
          <w:lang w:val="en-US" w:eastAsia="zh-CN"/>
        </w:rPr>
        <w:t>2025年1月17日，</w:t>
      </w:r>
      <w:r>
        <w:rPr>
          <w:rFonts w:hint="eastAsia" w:ascii="仿宋_GB2312" w:hAnsi="仿宋_GB2312" w:eastAsia="仿宋_GB2312" w:cs="仿宋_GB2312"/>
          <w:spacing w:val="0"/>
          <w:kern w:val="1"/>
          <w:sz w:val="32"/>
          <w:szCs w:val="32"/>
          <w:lang w:val="en-US" w:eastAsia="zh-CN"/>
        </w:rPr>
        <w:t>执法人员现场检查未发现当事人使用上述超过保质期的食品原料。经调查确认，上述四种食品原料在保质期内时，因更换主厨未被使用，工作人员未及时查看清理，致使超过保质期。上述已超过保质期的</w:t>
      </w:r>
      <w:r>
        <w:rPr>
          <w:rFonts w:hint="eastAsia" w:ascii="仿宋_GB2312" w:hAnsi="仿宋_GB2312" w:eastAsia="仿宋_GB2312" w:cs="仿宋_GB2312"/>
          <w:spacing w:val="0"/>
          <w:sz w:val="32"/>
          <w:szCs w:val="32"/>
          <w:lang w:val="en-US" w:eastAsia="zh-CN"/>
        </w:rPr>
        <w:t>食品原料的</w:t>
      </w:r>
      <w:r>
        <w:rPr>
          <w:rFonts w:hint="eastAsia" w:ascii="仿宋_GB2312" w:hAnsi="仿宋_GB2312" w:eastAsia="仿宋_GB2312" w:cs="仿宋_GB2312"/>
          <w:spacing w:val="0"/>
          <w:kern w:val="1"/>
          <w:sz w:val="32"/>
          <w:szCs w:val="32"/>
          <w:lang w:val="en-US" w:eastAsia="zh-CN"/>
        </w:rPr>
        <w:t>货值金额为176.5元（18元/袋×1袋+120元/桶×1桶+12元/罐×1罐+26.5元/瓶×1瓶＝176.5元）。</w:t>
      </w:r>
      <w:r>
        <w:rPr>
          <w:rFonts w:hint="eastAsia" w:ascii="仿宋_GB2312" w:hAnsi="仿宋" w:eastAsia="仿宋_GB2312"/>
          <w:sz w:val="32"/>
          <w:szCs w:val="32"/>
          <w:lang w:eastAsia="zh-CN"/>
        </w:rPr>
        <w:t>当事人在现场、调查笔录上签字确认，未提出异议。</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napToGrid/>
        <w:spacing w:line="540" w:lineRule="exact"/>
        <w:ind w:left="0" w:right="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2、《食品经营许可证》复印件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份，由当事人提供，证明当事人具有经营食品的合法资格，并在有效期内；                          </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3、</w:t>
      </w:r>
      <w:r>
        <w:rPr>
          <w:rFonts w:hint="eastAsia" w:ascii="仿宋_GB2312" w:hAnsi="仿宋_GB2312" w:eastAsia="仿宋_GB2312" w:cs="仿宋_GB2312"/>
          <w:color w:val="000000"/>
          <w:spacing w:val="0"/>
          <w:sz w:val="32"/>
          <w:szCs w:val="32"/>
          <w:lang w:eastAsia="zh-CN"/>
        </w:rPr>
        <w:t>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jc w:val="both"/>
        <w:textAlignment w:val="baseline"/>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lang w:eastAsia="zh-CN"/>
        </w:rPr>
        <w:t>授权委托书1份、受委托人身份证复印件1份，由当事人提供，证明受委托人身份信息与委托书信息相符，以及委托事项、委托权限、委托期限；</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kern w:val="0"/>
          <w:sz w:val="32"/>
          <w:szCs w:val="32"/>
          <w:lang w:val="en-US" w:eastAsia="zh-CN"/>
        </w:rPr>
        <w:t>5、供货商</w:t>
      </w:r>
      <w:r>
        <w:rPr>
          <w:rFonts w:hint="eastAsia" w:ascii="仿宋_GB2312" w:hAnsi="仿宋_GB2312" w:eastAsia="仿宋_GB2312" w:cs="仿宋_GB2312"/>
          <w:color w:val="000000"/>
          <w:spacing w:val="0"/>
          <w:sz w:val="32"/>
          <w:szCs w:val="32"/>
        </w:rPr>
        <w:t>《营业执照》</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rPr>
        <w:t>进货票据</w:t>
      </w:r>
      <w:r>
        <w:rPr>
          <w:rFonts w:hint="eastAsia" w:ascii="仿宋_GB2312" w:hAnsi="仿宋_GB2312" w:eastAsia="仿宋_GB2312" w:cs="仿宋_GB2312"/>
          <w:color w:val="000000"/>
          <w:spacing w:val="0"/>
          <w:sz w:val="32"/>
          <w:szCs w:val="32"/>
          <w:lang w:eastAsia="zh-CN"/>
        </w:rPr>
        <w:t>截图</w:t>
      </w:r>
      <w:r>
        <w:rPr>
          <w:rFonts w:hint="eastAsia" w:ascii="仿宋_GB2312" w:hAnsi="仿宋_GB2312" w:eastAsia="仿宋_GB2312" w:cs="仿宋_GB2312"/>
          <w:color w:val="000000"/>
          <w:spacing w:val="0"/>
          <w:sz w:val="32"/>
          <w:szCs w:val="32"/>
        </w:rPr>
        <w:t>复印件</w:t>
      </w:r>
      <w:r>
        <w:rPr>
          <w:rFonts w:hint="eastAsia" w:ascii="仿宋_GB2312" w:hAnsi="仿宋_GB2312" w:eastAsia="仿宋_GB2312" w:cs="仿宋_GB2312"/>
          <w:color w:val="000000"/>
          <w:spacing w:val="0"/>
          <w:sz w:val="32"/>
          <w:szCs w:val="32"/>
          <w:lang w:eastAsia="zh-CN"/>
        </w:rPr>
        <w:t>各</w:t>
      </w:r>
      <w:r>
        <w:rPr>
          <w:rFonts w:hint="eastAsia" w:ascii="仿宋_GB2312" w:hAnsi="仿宋_GB2312" w:eastAsia="仿宋_GB2312" w:cs="仿宋_GB2312"/>
          <w:color w:val="000000"/>
          <w:spacing w:val="0"/>
          <w:sz w:val="32"/>
          <w:szCs w:val="32"/>
          <w:lang w:val="en-US" w:eastAsia="zh-CN"/>
        </w:rPr>
        <w:t>1份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由当事人提供，证明当事人</w:t>
      </w:r>
      <w:r>
        <w:rPr>
          <w:rFonts w:hint="eastAsia" w:ascii="仿宋_GB2312" w:hAnsi="仿宋_GB2312" w:eastAsia="仿宋_GB2312" w:cs="仿宋_GB2312"/>
          <w:color w:val="000000"/>
          <w:spacing w:val="0"/>
          <w:sz w:val="32"/>
          <w:szCs w:val="32"/>
          <w:lang w:eastAsia="zh-CN"/>
        </w:rPr>
        <w:t>购进</w:t>
      </w:r>
      <w:r>
        <w:rPr>
          <w:rFonts w:hint="eastAsia" w:ascii="仿宋_GB2312" w:hAnsi="仿宋_GB2312" w:eastAsia="仿宋_GB2312" w:cs="仿宋_GB2312"/>
          <w:spacing w:val="0"/>
          <w:sz w:val="32"/>
          <w:szCs w:val="32"/>
          <w:lang w:val="en-US" w:eastAsia="zh-CN"/>
        </w:rPr>
        <w:t>鸡精调味料、泰芝宝芝麻酱、车牌甜面酱、劲霸橙汁饮料浓</w:t>
      </w:r>
      <w:bookmarkStart w:id="4" w:name="_GoBack"/>
      <w:bookmarkEnd w:id="4"/>
      <w:r>
        <w:rPr>
          <w:rFonts w:hint="eastAsia" w:ascii="仿宋_GB2312" w:hAnsi="仿宋_GB2312" w:eastAsia="仿宋_GB2312" w:cs="仿宋_GB2312"/>
          <w:spacing w:val="0"/>
          <w:sz w:val="32"/>
          <w:szCs w:val="32"/>
        </w:rPr>
        <w:t>的日期、数量</w:t>
      </w:r>
      <w:r>
        <w:rPr>
          <w:rFonts w:hint="eastAsia" w:ascii="仿宋_GB2312" w:hAnsi="仿宋_GB2312" w:eastAsia="仿宋_GB2312" w:cs="仿宋_GB2312"/>
          <w:spacing w:val="0"/>
          <w:sz w:val="32"/>
          <w:szCs w:val="32"/>
          <w:lang w:eastAsia="zh-CN"/>
        </w:rPr>
        <w:t>、进货价</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份，证明执法人员现场检查时发现</w:t>
      </w:r>
      <w:r>
        <w:rPr>
          <w:rFonts w:hint="eastAsia" w:ascii="仿宋_GB2312" w:hAnsi="仿宋_GB2312" w:eastAsia="仿宋_GB2312" w:cs="仿宋_GB2312"/>
          <w:spacing w:val="0"/>
          <w:sz w:val="32"/>
          <w:szCs w:val="32"/>
          <w:lang w:eastAsia="zh-CN"/>
        </w:rPr>
        <w:t>超过保质期</w:t>
      </w:r>
      <w:r>
        <w:rPr>
          <w:rFonts w:hint="eastAsia" w:ascii="仿宋_GB2312" w:hAnsi="仿宋_GB2312" w:eastAsia="仿宋_GB2312" w:cs="仿宋_GB2312"/>
          <w:spacing w:val="0"/>
          <w:sz w:val="32"/>
          <w:szCs w:val="32"/>
          <w:lang w:val="en-US" w:eastAsia="zh-CN"/>
        </w:rPr>
        <w:t>鸡精调味料、泰芝宝芝麻酱、车牌甜面酱、劲霸橙汁饮料浓</w:t>
      </w:r>
      <w:r>
        <w:rPr>
          <w:rFonts w:hint="eastAsia" w:ascii="仿宋_GB2312" w:hAnsi="仿宋_GB2312" w:eastAsia="仿宋_GB2312" w:cs="仿宋_GB2312"/>
          <w:spacing w:val="0"/>
          <w:sz w:val="32"/>
          <w:szCs w:val="32"/>
        </w:rPr>
        <w:t>的生产日期、保质期、数量和实施</w:t>
      </w:r>
      <w:r>
        <w:rPr>
          <w:rFonts w:hint="eastAsia" w:ascii="仿宋_GB2312" w:hAnsi="仿宋_GB2312" w:eastAsia="仿宋_GB2312" w:cs="仿宋_GB2312"/>
          <w:spacing w:val="0"/>
          <w:sz w:val="32"/>
          <w:szCs w:val="32"/>
          <w:lang w:eastAsia="zh-CN"/>
        </w:rPr>
        <w:t>扣押行政强制措施</w:t>
      </w:r>
      <w:r>
        <w:rPr>
          <w:rFonts w:hint="eastAsia" w:ascii="仿宋_GB2312" w:hAnsi="仿宋_GB2312" w:eastAsia="仿宋_GB2312" w:cs="仿宋_GB2312"/>
          <w:spacing w:val="0"/>
          <w:sz w:val="32"/>
          <w:szCs w:val="32"/>
        </w:rPr>
        <w:t xml:space="preserve">的情况；                      </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7、询问笔录2份，</w:t>
      </w:r>
      <w:r>
        <w:rPr>
          <w:rFonts w:hint="eastAsia" w:ascii="仿宋_GB2312" w:hAnsi="仿宋_GB2312" w:eastAsia="仿宋_GB2312" w:cs="仿宋_GB2312"/>
          <w:spacing w:val="0"/>
          <w:sz w:val="32"/>
          <w:szCs w:val="32"/>
        </w:rPr>
        <w:t>笔录</w:t>
      </w:r>
      <w:r>
        <w:rPr>
          <w:rFonts w:hint="eastAsia" w:ascii="仿宋_GB2312" w:hAnsi="仿宋_GB2312" w:eastAsia="仿宋_GB2312" w:cs="仿宋_GB2312"/>
          <w:spacing w:val="0"/>
          <w:sz w:val="32"/>
          <w:szCs w:val="32"/>
          <w:lang w:eastAsia="zh-CN"/>
        </w:rPr>
        <w:t>（一）</w:t>
      </w:r>
      <w:r>
        <w:rPr>
          <w:rFonts w:hint="eastAsia" w:ascii="仿宋_GB2312" w:hAnsi="仿宋_GB2312" w:eastAsia="仿宋_GB2312" w:cs="仿宋_GB2312"/>
          <w:spacing w:val="0"/>
          <w:sz w:val="32"/>
          <w:szCs w:val="32"/>
          <w:lang w:val="en-US" w:eastAsia="zh-CN"/>
        </w:rPr>
        <w:t>证明当事人未及时清理超过保质期涉案鸡精调味料、泰芝宝芝麻酱、车牌甜面酱、劲霸橙汁饮料浓的违法事实，以及进货数量、价格和使用情况；</w:t>
      </w:r>
      <w:r>
        <w:rPr>
          <w:rFonts w:hint="eastAsia" w:ascii="仿宋_GB2312" w:hAnsi="仿宋_GB2312" w:eastAsia="仿宋_GB2312" w:cs="仿宋_GB2312"/>
          <w:spacing w:val="0"/>
          <w:sz w:val="32"/>
          <w:szCs w:val="32"/>
        </w:rPr>
        <w:t>笔录</w:t>
      </w: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sz w:val="32"/>
          <w:szCs w:val="32"/>
          <w:lang w:eastAsia="zh-CN"/>
        </w:rPr>
        <w:t>当事人未使用</w:t>
      </w:r>
      <w:r>
        <w:rPr>
          <w:rFonts w:hint="eastAsia" w:ascii="仿宋_GB2312" w:hAnsi="仿宋_GB2312" w:eastAsia="仿宋_GB2312" w:cs="仿宋_GB2312"/>
          <w:spacing w:val="0"/>
          <w:sz w:val="32"/>
          <w:szCs w:val="32"/>
          <w:lang w:val="en-US" w:eastAsia="zh-CN"/>
        </w:rPr>
        <w:t>超过保质期涉案鸡精调味料、泰芝宝芝麻酱、车牌甜面酱、劲霸橙汁饮料浓的事实</w:t>
      </w:r>
      <w:r>
        <w:rPr>
          <w:rFonts w:hint="eastAsia" w:ascii="仿宋_GB2312" w:hAnsi="仿宋_GB2312" w:eastAsia="仿宋_GB2312" w:cs="仿宋_GB2312"/>
          <w:bCs/>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8、现场拍摄照片2张、音像视频资料1份，证明2025年1月17日执法人员在当事人经营场所内检查发现使用超过保质期鸡精调味料、泰芝宝芝麻酱、车牌甜面酱、劲霸橙汁饮料浓的事实；                             </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4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、提取</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lang w:val="en-US" w:eastAsia="zh-CN"/>
        </w:rPr>
        <w:t>鸡精调味料、泰芝宝芝麻酱、车牌甜面酱、劲霸橙汁饮料浓浆</w:t>
      </w:r>
      <w:r>
        <w:rPr>
          <w:rFonts w:hint="eastAsia" w:ascii="仿宋_GB2312" w:hAnsi="仿宋_GB2312" w:eastAsia="仿宋_GB2312" w:cs="仿宋_GB2312"/>
          <w:spacing w:val="0"/>
          <w:sz w:val="32"/>
          <w:szCs w:val="32"/>
        </w:rPr>
        <w:t>正面和</w:t>
      </w:r>
      <w:r>
        <w:rPr>
          <w:rFonts w:hint="eastAsia" w:ascii="仿宋_GB2312" w:hAnsi="仿宋_GB2312" w:eastAsia="仿宋_GB2312" w:cs="仿宋_GB2312"/>
          <w:spacing w:val="0"/>
          <w:sz w:val="32"/>
          <w:szCs w:val="32"/>
          <w:lang w:eastAsia="zh-CN"/>
        </w:rPr>
        <w:t>背面</w:t>
      </w:r>
      <w:r>
        <w:rPr>
          <w:rFonts w:hint="eastAsia" w:ascii="仿宋_GB2312" w:hAnsi="仿宋_GB2312" w:eastAsia="仿宋_GB2312" w:cs="仿宋_GB2312"/>
          <w:spacing w:val="0"/>
          <w:sz w:val="32"/>
          <w:szCs w:val="32"/>
        </w:rPr>
        <w:t>照片</w:t>
      </w:r>
      <w:r>
        <w:rPr>
          <w:rFonts w:hint="eastAsia" w:ascii="仿宋_GB2312" w:hAnsi="仿宋_GB2312" w:eastAsia="仿宋_GB2312" w:cs="仿宋_GB2312"/>
          <w:spacing w:val="0"/>
          <w:sz w:val="32"/>
          <w:szCs w:val="32"/>
          <w:lang w:eastAsia="zh-CN"/>
        </w:rPr>
        <w:t>各</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rPr>
        <w:t>证明当事人</w:t>
      </w:r>
      <w:r>
        <w:rPr>
          <w:rFonts w:hint="eastAsia" w:ascii="仿宋_GB2312" w:hAnsi="仿宋_GB2312" w:eastAsia="仿宋_GB2312" w:cs="仿宋_GB2312"/>
          <w:spacing w:val="0"/>
          <w:sz w:val="32"/>
          <w:szCs w:val="32"/>
          <w:lang w:eastAsia="zh-CN"/>
        </w:rPr>
        <w:t>使用</w:t>
      </w:r>
      <w:r>
        <w:rPr>
          <w:rFonts w:hint="eastAsia" w:ascii="仿宋_GB2312" w:hAnsi="仿宋_GB2312" w:eastAsia="仿宋_GB2312" w:cs="仿宋_GB2312"/>
          <w:spacing w:val="0"/>
          <w:sz w:val="32"/>
          <w:szCs w:val="32"/>
          <w:lang w:val="en-US" w:eastAsia="zh-CN"/>
        </w:rPr>
        <w:t>鸡精调味料、泰芝宝芝麻酱、车牌甜面酱、劲霸橙汁饮料浓</w:t>
      </w:r>
      <w:r>
        <w:rPr>
          <w:rFonts w:hint="eastAsia" w:ascii="仿宋_GB2312" w:hAnsi="仿宋_GB2312" w:eastAsia="仿宋_GB2312" w:cs="仿宋_GB2312"/>
          <w:spacing w:val="0"/>
          <w:sz w:val="32"/>
          <w:szCs w:val="32"/>
        </w:rPr>
        <w:t>的保质期</w:t>
      </w:r>
      <w:r>
        <w:rPr>
          <w:rFonts w:hint="eastAsia" w:ascii="仿宋_GB2312" w:hAnsi="仿宋_GB2312" w:eastAsia="仿宋_GB2312" w:cs="仿宋_GB2312"/>
          <w:spacing w:val="0"/>
          <w:sz w:val="32"/>
          <w:szCs w:val="32"/>
          <w:lang w:eastAsia="zh-CN"/>
        </w:rPr>
        <w:t>、生产日期</w:t>
      </w:r>
      <w:r>
        <w:rPr>
          <w:rFonts w:hint="eastAsia" w:ascii="仿宋_GB2312" w:hAnsi="仿宋_GB2312" w:eastAsia="仿宋_GB2312" w:cs="仿宋_GB2312"/>
          <w:spacing w:val="0"/>
          <w:sz w:val="32"/>
          <w:szCs w:val="32"/>
        </w:rPr>
        <w:t>真实性的事实</w:t>
      </w:r>
      <w:r>
        <w:rPr>
          <w:rFonts w:hint="eastAsia" w:ascii="仿宋_GB2312" w:hAnsi="仿宋_GB2312" w:eastAsia="仿宋_GB2312" w:cs="仿宋_GB2312"/>
          <w:spacing w:val="0"/>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40" w:lineRule="exact"/>
        <w:ind w:left="0" w:right="0" w:firstLine="640" w:firstLineChars="200"/>
        <w:jc w:val="both"/>
        <w:textAlignment w:val="auto"/>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4月3</w:t>
      </w:r>
      <w:r>
        <w:rPr>
          <w:rFonts w:hint="eastAsia" w:ascii="仿宋_GB2312" w:hAnsi="仿宋_GB2312" w:eastAsia="仿宋_GB2312" w:cs="仿宋_GB2312"/>
          <w:kern w:val="0"/>
          <w:sz w:val="32"/>
          <w:szCs w:val="32"/>
        </w:rPr>
        <w:t>日依法向当事人送达了《行政处罚告知书》（</w:t>
      </w:r>
      <w:r>
        <w:rPr>
          <w:rFonts w:hint="eastAsia" w:ascii="Times New Roman" w:hAnsi="Times New Roman" w:eastAsia="仿宋_GB2312" w:cs="仿宋_GB2312"/>
          <w:bCs/>
          <w:color w:val="000000"/>
          <w:sz w:val="32"/>
          <w:szCs w:val="32"/>
          <w:u w:val="none"/>
          <w:lang w:eastAsia="zh-CN"/>
        </w:rPr>
        <w:t>塔乌市监罚告</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30</w:t>
      </w:r>
      <w:r>
        <w:rPr>
          <w:rFonts w:hint="eastAsia" w:ascii="Times New Roman" w:hAnsi="仿宋_GB2312" w:eastAsia="仿宋_GB2312" w:cs="仿宋_GB2312"/>
          <w:bCs/>
          <w:color w:val="000000"/>
          <w:sz w:val="32"/>
          <w:szCs w:val="32"/>
          <w:u w:val="none"/>
        </w:rPr>
        <w:t>号</w:t>
      </w:r>
      <w:r>
        <w:rPr>
          <w:rFonts w:hint="eastAsia" w:ascii="仿宋_GB2312" w:hAnsi="仿宋_GB2312" w:eastAsia="仿宋_GB2312" w:cs="仿宋_GB2312"/>
          <w:kern w:val="0"/>
          <w:sz w:val="32"/>
          <w:szCs w:val="32"/>
        </w:rPr>
        <w:t xml:space="preserve">），告知了当事人依法享有陈述、申辩的权利，当事人在法定期限内未提出陈述、申辩，视为放弃此权利。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snapToGrid/>
        <w:spacing w:line="540" w:lineRule="exact"/>
        <w:ind w:left="0" w:right="0"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sz w:val="32"/>
          <w:szCs w:val="32"/>
        </w:rPr>
        <w:t>当事人的上述行为违反了《中华人民共和国食品安全法》第</w:t>
      </w:r>
      <w:r>
        <w:rPr>
          <w:rFonts w:hint="eastAsia" w:ascii="仿宋_GB2312" w:hAnsi="仿宋_GB2312" w:eastAsia="仿宋_GB2312" w:cs="仿宋_GB2312"/>
          <w:spacing w:val="0"/>
          <w:sz w:val="32"/>
          <w:szCs w:val="32"/>
          <w:lang w:eastAsia="zh-CN"/>
        </w:rPr>
        <w:t>五十</w:t>
      </w:r>
      <w:r>
        <w:rPr>
          <w:rFonts w:hint="eastAsia" w:ascii="仿宋_GB2312" w:hAnsi="仿宋_GB2312" w:eastAsia="仿宋_GB2312" w:cs="仿宋_GB2312"/>
          <w:spacing w:val="0"/>
          <w:sz w:val="32"/>
          <w:szCs w:val="32"/>
        </w:rPr>
        <w:t>四条</w:t>
      </w:r>
      <w:r>
        <w:rPr>
          <w:rFonts w:hint="eastAsia" w:ascii="仿宋_GB2312" w:hAnsi="仿宋_GB2312" w:eastAsia="仿宋_GB2312" w:cs="仿宋_GB2312"/>
          <w:spacing w:val="0"/>
          <w:sz w:val="32"/>
          <w:szCs w:val="32"/>
          <w:lang w:eastAsia="zh-CN"/>
        </w:rPr>
        <w:t>第一款</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食品经营者应当按照保证食品安全的要求贮存食品，定期检查库存食品，及时清理变质或者超过保质期的食品。</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和《中华人民共和国食品安全法实施条例》第二十九条第一款：“食品生产经营者应当对变质、超过保质期或者回收的食品进行显著标示或者单独存放在有明确的标志的场所，及时采取无害化处理、销毁等措施并如实记录。”</w:t>
      </w:r>
      <w:r>
        <w:rPr>
          <w:rFonts w:hint="eastAsia" w:ascii="仿宋_GB2312" w:hAnsi="仿宋_GB2312" w:eastAsia="仿宋_GB2312" w:cs="仿宋_GB2312"/>
          <w:spacing w:val="0"/>
          <w:sz w:val="32"/>
          <w:szCs w:val="32"/>
        </w:rPr>
        <w:t xml:space="preserve">的规定，属违法行为。                                      </w:t>
      </w:r>
    </w:p>
    <w:p>
      <w:pPr>
        <w:keepNext w:val="0"/>
        <w:keepLines w:val="0"/>
        <w:pageBreakBefore w:val="0"/>
        <w:widowControl w:val="0"/>
        <w:kinsoku/>
        <w:wordWrap/>
        <w:overflowPunct/>
        <w:topLinePunct w:val="0"/>
        <w:autoSpaceDE/>
        <w:autoSpaceDN/>
        <w:bidi w:val="0"/>
        <w:snapToGrid/>
        <w:spacing w:line="540" w:lineRule="exact"/>
        <w:ind w:left="0" w:right="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鉴于当事人</w:t>
      </w:r>
      <w:r>
        <w:rPr>
          <w:rFonts w:hint="eastAsia" w:ascii="仿宋_GB2312" w:hAnsi="仿宋_GB2312" w:eastAsia="仿宋_GB2312" w:cs="仿宋_GB2312"/>
          <w:spacing w:val="0"/>
          <w:kern w:val="0"/>
          <w:sz w:val="32"/>
          <w:szCs w:val="32"/>
          <w:lang w:eastAsia="zh-CN"/>
        </w:rPr>
        <w:t>系初次违法，</w:t>
      </w:r>
      <w:r>
        <w:rPr>
          <w:rFonts w:hint="eastAsia" w:ascii="仿宋_GB2312" w:hAnsi="仿宋_GB2312" w:eastAsia="仿宋_GB2312" w:cs="仿宋_GB2312"/>
          <w:spacing w:val="0"/>
          <w:kern w:val="0"/>
          <w:sz w:val="32"/>
          <w:szCs w:val="32"/>
        </w:rPr>
        <w:t>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当事人已</w:t>
      </w:r>
      <w:r>
        <w:rPr>
          <w:rFonts w:hint="eastAsia" w:ascii="仿宋_GB2312" w:hAnsi="仿宋_GB2312" w:eastAsia="仿宋_GB2312" w:cs="仿宋_GB2312"/>
          <w:spacing w:val="0"/>
          <w:kern w:val="0"/>
          <w:sz w:val="32"/>
          <w:szCs w:val="32"/>
        </w:rPr>
        <w:t>通过学习</w:t>
      </w:r>
      <w:r>
        <w:rPr>
          <w:rFonts w:hint="eastAsia" w:ascii="仿宋_GB2312" w:hAnsi="仿宋_GB2312" w:eastAsia="仿宋_GB2312" w:cs="仿宋_GB2312"/>
          <w:spacing w:val="0"/>
          <w:kern w:val="0"/>
          <w:sz w:val="32"/>
          <w:szCs w:val="32"/>
          <w:lang w:eastAsia="zh-CN"/>
        </w:rPr>
        <w:t>食品安全</w:t>
      </w:r>
      <w:r>
        <w:rPr>
          <w:rFonts w:hint="eastAsia" w:ascii="仿宋_GB2312" w:hAnsi="仿宋_GB2312" w:eastAsia="仿宋_GB2312" w:cs="仿宋_GB2312"/>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并保证在今后的经营过程中守法诚信经营。</w:t>
      </w:r>
      <w:r>
        <w:rPr>
          <w:rFonts w:hint="eastAsia" w:ascii="仿宋_GB2312" w:hAnsi="仿宋_GB2312" w:eastAsia="仿宋_GB2312" w:cs="仿宋_GB2312"/>
          <w:spacing w:val="0"/>
          <w:kern w:val="0"/>
          <w:sz w:val="32"/>
          <w:szCs w:val="32"/>
        </w:rPr>
        <w:t xml:space="preserve">                               </w:t>
      </w:r>
      <w:r>
        <w:rPr>
          <w:rFonts w:hint="eastAsia" w:ascii="仿宋_GB2312" w:hAnsi="仿宋_GB2312" w:eastAsia="仿宋_GB2312" w:cs="仿宋_GB2312"/>
          <w:spacing w:val="0"/>
          <w:kern w:val="1"/>
          <w:sz w:val="32"/>
          <w:szCs w:val="32"/>
        </w:rPr>
        <w:t xml:space="preserve"> </w:t>
      </w:r>
      <w:r>
        <w:rPr>
          <w:rFonts w:hint="eastAsia" w:ascii="仿宋_GB2312" w:hAnsi="仿宋_GB2312" w:eastAsia="仿宋_GB2312" w:cs="仿宋_GB2312"/>
          <w:bCs/>
          <w:spacing w:val="0"/>
          <w:sz w:val="32"/>
          <w:szCs w:val="32"/>
        </w:rPr>
        <w:t xml:space="preserve">        </w:t>
      </w:r>
    </w:p>
    <w:p>
      <w:pPr>
        <w:keepNext w:val="0"/>
        <w:keepLines w:val="0"/>
        <w:pageBreakBefore w:val="0"/>
        <w:widowControl w:val="0"/>
        <w:kinsoku/>
        <w:wordWrap/>
        <w:overflowPunct/>
        <w:topLinePunct w:val="0"/>
        <w:autoSpaceDE/>
        <w:autoSpaceDN/>
        <w:bidi w:val="0"/>
        <w:snapToGrid/>
        <w:spacing w:line="540" w:lineRule="exact"/>
        <w:ind w:left="0" w:right="0" w:firstLine="640" w:firstLineChars="200"/>
        <w:jc w:val="both"/>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w w:val="100"/>
          <w:kern w:val="1"/>
          <w:sz w:val="32"/>
          <w:szCs w:val="32"/>
        </w:rPr>
        <w:t>依据</w:t>
      </w:r>
      <w:r>
        <w:rPr>
          <w:rFonts w:hint="eastAsia" w:ascii="仿宋_GB2312" w:hAnsi="仿宋_GB2312" w:eastAsia="仿宋_GB2312" w:cs="仿宋_GB2312"/>
          <w:w w:val="100"/>
          <w:sz w:val="32"/>
          <w:szCs w:val="32"/>
          <w:lang w:eastAsia="zh-CN"/>
        </w:rPr>
        <w:t>《中华人民共和国食品安全法实施条例》第六十九条第三项：“有下列情形之一的，依照食品安全法第一百二十六条第一款、本条例第七十五条的规定给予处罚：（三）食品生产经营者未按照规定对变质、超过保质期或者回收的食品进行标示或者存放，或者未及时对上述食品采取无害化处理、销毁等措施并如实记录；”和《中华人民共和国食品安全法》第一百二十六条第一款：</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w w:val="100"/>
          <w:sz w:val="32"/>
          <w:szCs w:val="32"/>
          <w:lang w:eastAsia="zh-CN"/>
        </w:rPr>
        <w:t>（十三）食品生产企业、餐饮服务提供者未按规定制定、实施生产经营过程控制要求。</w:t>
      </w:r>
      <w:r>
        <w:rPr>
          <w:rFonts w:hint="eastAsia" w:ascii="仿宋_GB2312" w:hAnsi="仿宋_GB2312" w:eastAsia="仿宋_GB2312" w:cs="仿宋_GB2312"/>
          <w:spacing w:val="0"/>
          <w:sz w:val="32"/>
          <w:szCs w:val="32"/>
        </w:rPr>
        <w:t>”的规定，责令当事人改正违法经营行为，</w:t>
      </w:r>
      <w:r>
        <w:rPr>
          <w:rFonts w:hint="eastAsia" w:ascii="仿宋_GB2312" w:hAnsi="仿宋_GB2312" w:eastAsia="仿宋_GB2312" w:cs="仿宋_GB2312"/>
          <w:spacing w:val="0"/>
          <w:sz w:val="32"/>
          <w:szCs w:val="32"/>
          <w:lang w:eastAsia="zh-CN"/>
        </w:rPr>
        <w:t>决定</w:t>
      </w:r>
      <w:r>
        <w:rPr>
          <w:rFonts w:hint="eastAsia" w:ascii="仿宋_GB2312" w:hAnsi="仿宋_GB2312" w:eastAsia="仿宋_GB2312" w:cs="仿宋_GB2312"/>
          <w:spacing w:val="0"/>
          <w:sz w:val="32"/>
          <w:szCs w:val="32"/>
        </w:rPr>
        <w:t xml:space="preserve">对当事人处罚如下： </w:t>
      </w:r>
      <w:r>
        <w:rPr>
          <w:rFonts w:hint="eastAsia" w:ascii="仿宋_GB2312" w:hAnsi="仿宋_GB2312" w:eastAsia="仿宋_GB2312" w:cs="仿宋_GB2312"/>
          <w:spacing w:val="0"/>
          <w:w w:val="90"/>
          <w:kern w:val="1"/>
          <w:sz w:val="32"/>
          <w:szCs w:val="32"/>
        </w:rPr>
        <w:t xml:space="preserve">                  </w:t>
      </w:r>
    </w:p>
    <w:p>
      <w:pPr>
        <w:keepNext w:val="0"/>
        <w:keepLines w:val="0"/>
        <w:pageBreakBefore w:val="0"/>
        <w:widowControl w:val="0"/>
        <w:kinsoku/>
        <w:wordWrap/>
        <w:overflowPunct/>
        <w:topLinePunct w:val="0"/>
        <w:autoSpaceDE/>
        <w:autoSpaceDN/>
        <w:bidi w:val="0"/>
        <w:snapToGrid/>
        <w:spacing w:line="54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警告。</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40" w:lineRule="exact"/>
        <w:ind w:left="0" w:right="0" w:firstLine="640" w:firstLineChars="200"/>
        <w:jc w:val="both"/>
        <w:rPr>
          <w:rFonts w:hint="eastAsia" w:ascii="仿宋_GB2312" w:hAnsi="仿宋" w:eastAsia="仿宋_GB2312" w:cs="Arial"/>
          <w:kern w:val="0"/>
          <w:sz w:val="32"/>
          <w:szCs w:val="32"/>
        </w:rPr>
      </w:pPr>
      <w:r>
        <w:rPr>
          <w:rFonts w:hint="eastAsia" w:ascii="仿宋_GB2312" w:hAnsi="仿宋_GB2312" w:eastAsia="仿宋_GB2312" w:cs="仿宋_GB2312"/>
          <w:spacing w:val="0"/>
          <w:sz w:val="32"/>
          <w:szCs w:val="32"/>
        </w:rPr>
        <w:t>如</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不服本行政处罚决定，可以在收到本行政处罚决定书之日起六十日内向</w:t>
      </w:r>
      <w:r>
        <w:rPr>
          <w:rFonts w:hint="eastAsia" w:ascii="仿宋_GB2312" w:hAnsi="仿宋_GB2312" w:eastAsia="仿宋_GB2312" w:cs="仿宋_GB2312"/>
          <w:spacing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rPr>
        <w:t>申请行政复议</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也可以在六个月内依法向</w:t>
      </w:r>
      <w:r>
        <w:rPr>
          <w:rFonts w:hint="eastAsia" w:ascii="仿宋_GB2312" w:hAnsi="仿宋_GB2312" w:eastAsia="仿宋_GB2312" w:cs="仿宋_GB2312"/>
          <w:spacing w:val="0"/>
          <w:sz w:val="32"/>
          <w:szCs w:val="32"/>
          <w:lang w:val="en-US" w:eastAsia="zh-CN"/>
        </w:rPr>
        <w:t>乌苏市</w:t>
      </w:r>
      <w:r>
        <w:rPr>
          <w:rFonts w:hint="eastAsia" w:ascii="仿宋_GB2312" w:hAnsi="仿宋_GB2312" w:eastAsia="仿宋_GB2312" w:cs="仿宋_GB2312"/>
          <w:spacing w:val="0"/>
          <w:sz w:val="32"/>
          <w:szCs w:val="32"/>
        </w:rPr>
        <w:t>人民法院</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地址：乌苏市新市区长江路140号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40" w:lineRule="exact"/>
        <w:ind w:left="0" w:right="0"/>
        <w:jc w:val="both"/>
        <w:textAlignment w:val="auto"/>
        <w:rPr>
          <w:rFonts w:hint="eastAsia" w:ascii="仿宋_GB2312" w:hAnsi="仿宋" w:eastAsia="仿宋_GB2312" w:cs="Arial"/>
          <w:kern w:val="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4480" w:firstLineChars="14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jc w:val="both"/>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4</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16</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40" w:lineRule="exact"/>
        <w:ind w:left="0" w:right="0"/>
        <w:jc w:val="left"/>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jc w:val="left"/>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jc w:val="left"/>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jc w:val="left"/>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jc w:val="left"/>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40" w:lineRule="exact"/>
        <w:ind w:right="0"/>
        <w:jc w:val="center"/>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657CDA"/>
    <w:rsid w:val="05C12696"/>
    <w:rsid w:val="079C0384"/>
    <w:rsid w:val="098C2285"/>
    <w:rsid w:val="0ADD11E0"/>
    <w:rsid w:val="0B5C2DB3"/>
    <w:rsid w:val="0DB34CB0"/>
    <w:rsid w:val="0F526473"/>
    <w:rsid w:val="100C48AC"/>
    <w:rsid w:val="10CF41FE"/>
    <w:rsid w:val="119A6277"/>
    <w:rsid w:val="134C1D6F"/>
    <w:rsid w:val="14A06D86"/>
    <w:rsid w:val="19464546"/>
    <w:rsid w:val="194E6691"/>
    <w:rsid w:val="19C8581D"/>
    <w:rsid w:val="1A826533"/>
    <w:rsid w:val="1B2C6BBC"/>
    <w:rsid w:val="1B5A719C"/>
    <w:rsid w:val="1C0539CF"/>
    <w:rsid w:val="1C8C000A"/>
    <w:rsid w:val="1D6D68E1"/>
    <w:rsid w:val="1ED17950"/>
    <w:rsid w:val="1FA7488F"/>
    <w:rsid w:val="221D1D08"/>
    <w:rsid w:val="22DB4AB1"/>
    <w:rsid w:val="230C3ECD"/>
    <w:rsid w:val="23A737DF"/>
    <w:rsid w:val="24FF380F"/>
    <w:rsid w:val="27E733C6"/>
    <w:rsid w:val="2A1926DF"/>
    <w:rsid w:val="2AEC6869"/>
    <w:rsid w:val="2B175579"/>
    <w:rsid w:val="2B807625"/>
    <w:rsid w:val="2C857ECA"/>
    <w:rsid w:val="2D2A0417"/>
    <w:rsid w:val="2E49614A"/>
    <w:rsid w:val="2E8203DE"/>
    <w:rsid w:val="2F8006E2"/>
    <w:rsid w:val="2F890149"/>
    <w:rsid w:val="30A30058"/>
    <w:rsid w:val="313F6598"/>
    <w:rsid w:val="32486C62"/>
    <w:rsid w:val="33556DA9"/>
    <w:rsid w:val="348E3E46"/>
    <w:rsid w:val="35A76E34"/>
    <w:rsid w:val="361971D0"/>
    <w:rsid w:val="38D07A9A"/>
    <w:rsid w:val="3B371D24"/>
    <w:rsid w:val="3C8D4BE6"/>
    <w:rsid w:val="3DAE56F2"/>
    <w:rsid w:val="3F574CE6"/>
    <w:rsid w:val="3F6413E1"/>
    <w:rsid w:val="404B0E09"/>
    <w:rsid w:val="406475D5"/>
    <w:rsid w:val="40973487"/>
    <w:rsid w:val="414B4967"/>
    <w:rsid w:val="41C60AF2"/>
    <w:rsid w:val="42562163"/>
    <w:rsid w:val="425F0D40"/>
    <w:rsid w:val="42EC3CA8"/>
    <w:rsid w:val="435439A2"/>
    <w:rsid w:val="45056264"/>
    <w:rsid w:val="4508505B"/>
    <w:rsid w:val="48D73E04"/>
    <w:rsid w:val="49D21792"/>
    <w:rsid w:val="4C1C6B6C"/>
    <w:rsid w:val="4C540BCB"/>
    <w:rsid w:val="4C9618B6"/>
    <w:rsid w:val="4E3A01FD"/>
    <w:rsid w:val="4E596E78"/>
    <w:rsid w:val="4FD25E02"/>
    <w:rsid w:val="4FE428F7"/>
    <w:rsid w:val="50345982"/>
    <w:rsid w:val="50613AE5"/>
    <w:rsid w:val="541547A7"/>
    <w:rsid w:val="553C65F0"/>
    <w:rsid w:val="57BE42A9"/>
    <w:rsid w:val="58A15938"/>
    <w:rsid w:val="59440C82"/>
    <w:rsid w:val="5ACE0119"/>
    <w:rsid w:val="5B5F3928"/>
    <w:rsid w:val="5BB054F9"/>
    <w:rsid w:val="5C212387"/>
    <w:rsid w:val="5C841E70"/>
    <w:rsid w:val="5CBE30C2"/>
    <w:rsid w:val="5D401A22"/>
    <w:rsid w:val="5E4F138D"/>
    <w:rsid w:val="5F530EF2"/>
    <w:rsid w:val="5FA349A9"/>
    <w:rsid w:val="60160C30"/>
    <w:rsid w:val="60BF1CDB"/>
    <w:rsid w:val="618359D3"/>
    <w:rsid w:val="62154A5E"/>
    <w:rsid w:val="634755F0"/>
    <w:rsid w:val="63D63BB3"/>
    <w:rsid w:val="63E30CF1"/>
    <w:rsid w:val="640677B3"/>
    <w:rsid w:val="65223BFC"/>
    <w:rsid w:val="662A0BAB"/>
    <w:rsid w:val="666C4E98"/>
    <w:rsid w:val="67227A2D"/>
    <w:rsid w:val="684007D1"/>
    <w:rsid w:val="6A811ACA"/>
    <w:rsid w:val="6AA877EA"/>
    <w:rsid w:val="6B191BE1"/>
    <w:rsid w:val="6BFC15B7"/>
    <w:rsid w:val="6C941AA7"/>
    <w:rsid w:val="6CF81D02"/>
    <w:rsid w:val="6D373C2D"/>
    <w:rsid w:val="6D681AB1"/>
    <w:rsid w:val="6DC73E14"/>
    <w:rsid w:val="6DD83B98"/>
    <w:rsid w:val="6F0B1B92"/>
    <w:rsid w:val="6F0D5441"/>
    <w:rsid w:val="6F245507"/>
    <w:rsid w:val="709906C0"/>
    <w:rsid w:val="70E56757"/>
    <w:rsid w:val="72217DBF"/>
    <w:rsid w:val="738833AE"/>
    <w:rsid w:val="73F3249F"/>
    <w:rsid w:val="7482271B"/>
    <w:rsid w:val="74BD4884"/>
    <w:rsid w:val="75206B03"/>
    <w:rsid w:val="76B864E6"/>
    <w:rsid w:val="76DD7F6D"/>
    <w:rsid w:val="76E01C9C"/>
    <w:rsid w:val="78EE0B1F"/>
    <w:rsid w:val="7DBA6AEF"/>
    <w:rsid w:val="7E1752BB"/>
    <w:rsid w:val="7E22635E"/>
    <w:rsid w:val="7F277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3260</Words>
  <Characters>3614</Characters>
  <Lines>0</Lines>
  <Paragraphs>0</Paragraphs>
  <TotalTime>25</TotalTime>
  <ScaleCrop>false</ScaleCrop>
  <LinksUpToDate>false</LinksUpToDate>
  <CharactersWithSpaces>3950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2025-04-16T02:37:00Z</cp:lastPrinted>
  <dcterms:modified xsi:type="dcterms:W3CDTF">2025-04-29T05:23:39Z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