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kern w:val="2"/>
          <w:sz w:val="36"/>
          <w:szCs w:val="36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 w:bidi="ar-SA"/>
        </w:rPr>
        <w:t>乌苏机场项目建设征地补偿安置方案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0" w:leftChars="0" w:firstLine="0" w:firstLineChars="0"/>
        <w:jc w:val="both"/>
        <w:rPr>
          <w:rFonts w:hint="eastAsia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根据《中华人民共和国土地管理法》第四十七条、第四十八条，《中华人民共和国土地管理法实施条例》第二十七条、第二十八条，《新疆维吾尔自治区实施〈中华人民共和国土地管理法〉办法》第二十六条的规定，依据征收土地预公告、拟征收土地现状调查和社会稳定风险评估情况，现将拟定征收土地补偿安置方案的有关事项公告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一、征收范围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本次拟征收位于夹河子乡及夹河子村、奎河村、红房子村；九间楼乡邢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家庄子村、黄渠村；皇宫镇阿克其村；八十四户乡沙梁子村、转湾湖村。拟征收农民集体所有土地859.35公顷（12890.29亩），具体位置详见附图。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实际征收土地范围以最终批准文件为准。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二、征收目的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根据《中华人民共和国土地管理法》第四十五条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第一款第一项、第二项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的规定，为了公共利益的需要，有下列情形之一，确需征收农民集体所有的土地的，可以依法实施征收：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eastAsia="zh-CN" w:bidi="ar-SA"/>
        </w:rPr>
        <w:t>（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军事和外交需要用地的；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eastAsia="zh-CN" w:bidi="ar-SA"/>
        </w:rPr>
        <w:t>（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由政府组织实施的能源、交通、水利、通信、邮政等基础设施建设需要用地的。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eastAsia="zh-CN" w:bidi="ar-SA"/>
        </w:rPr>
        <w:t>本次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拟</w:t>
      </w:r>
      <w:r>
        <w:rPr>
          <w:rFonts w:ascii="仿宋_GB2312" w:hAnsi="仿宋_GB2312" w:eastAsia="仿宋_GB2312" w:cs="仿宋_GB2312"/>
          <w:kern w:val="2"/>
          <w:sz w:val="32"/>
          <w:szCs w:val="32"/>
          <w:lang w:eastAsia="zh-CN" w:bidi="ar-SA"/>
        </w:rPr>
        <w:t>征收土地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符合公共利益的需要。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三、土地现状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eastAsia="zh-CN" w:bidi="ar-SA"/>
        </w:rPr>
        <w:t>根据拟征收土地现状调查情况，本次拟征收土地现状如下：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1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拟征收夹河子乡夹河子村村民集体所有土地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164.12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公顷（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2461.89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亩）。其中，农用地148.56公顷（2228.48亩），含耕地128.68公顷（1930.20亩）；建设用地14.11公顷（211.59亩），未利用地1.45公顷（21.82亩）。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u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奎河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eastAsia="zh-CN" w:bidi="ar-SA"/>
        </w:rPr>
        <w:t>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村民集体所有土地297.45公顷（4461.78亩）。其中，农用地</w:t>
      </w: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286.48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公顷（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val="en-US" w:eastAsia="zh-CN" w:bidi="ar-SA"/>
        </w:rPr>
        <w:t>4297.19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亩），含耕地254公顷（3801.01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u w:val="none"/>
          <w:lang w:eastAsia="zh-CN" w:bidi="ar-SA"/>
        </w:rPr>
        <w:t>亩），建设用地8.78公顷（131.68亩），未利用地2.19公顷（32.91亩）。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红房子村村民集体所有土地41.57公顷（623.51亩）。其中，农用地41.31公顷（619.67亩），含耕地40.27公顷（604.07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u w:val="none"/>
          <w:lang w:eastAsia="zh-CN" w:bidi="ar-SA"/>
        </w:rPr>
        <w:t>亩），建设用地0.25公顷（3.84亩），未利用地0公顷（0亩）。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夹河子乡直属集体所有土地0.37公顷（5.55亩）。其中，农用地0.37公顷（5.55亩），含耕地0.37公顷（5.55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u w:val="none"/>
          <w:lang w:eastAsia="zh-CN" w:bidi="ar-SA"/>
        </w:rPr>
        <w:t>亩），建设用地0公顷（0亩），未利用地0公顷（0亩）。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2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eastAsia="zh-CN" w:bidi="ar-SA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拟征收九间楼乡邢家庄子村村民集体所有土地279.96公顷（4199.49亩）。其中，农用地272.37公顷（4085.69亩），含耕地209.70公顷（3145.56亩）；建设用地3.29公顷（49.42亩）；未利用地4.29公顷（64.38亩）。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黄渠村村民集体所有土地74.28公顷（1114.33亩）。其中，农用地73.84公顷（1107.74亩），含耕地71.57公顷（1073.56亩）；建设用地0公顷（0亩）；未利用地0.44公顷（6.59亩）。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3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eastAsia="zh-CN" w:bidi="ar-SA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拟征收皇宫镇阿克其村村民集体所有土地0.035公顷（0.52亩）。其中，农用地0.035公顷（0.52亩），含耕地0.009公顷（0.14亩）；建设用地0公顷（0亩）；未利用地0公顷（0亩）。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4</w:t>
      </w:r>
      <w:r>
        <w:rPr>
          <w:rFonts w:hint="eastAsia" w:ascii="Times New Roman" w:hAnsi="Times New Roman" w:cs="Times New Roman"/>
          <w:kern w:val="2"/>
          <w:sz w:val="32"/>
          <w:szCs w:val="32"/>
          <w:u w:val="none"/>
          <w:lang w:eastAsia="zh-CN" w:bidi="ar-SA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拟征收八十四户乡沙梁子村村民集体所有土地0.77公顷（11.63亩）。其中，农用地0.77公顷（11.63亩），含耕地0.73公顷（11.04亩）；建设用地0公顷（0亩）；未利用地0公顷（0亩）；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u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eastAsia="zh-CN" w:bidi="ar-SA"/>
        </w:rPr>
        <w:t>转湾湖村村民集体所有土地0.77公顷（11.63亩）。其中，农用地0.77公顷（11.63亩），含耕地0.77公顷（11.63亩）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u w:val="none"/>
          <w:lang w:eastAsia="zh-CN" w:bidi="ar-SA"/>
        </w:rPr>
        <w:t>；建设用地0公顷（0亩）；未利用地0公顷（0亩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u w:val="none"/>
          <w:lang w:eastAsia="zh-CN" w:bidi="ar-SA"/>
        </w:rPr>
        <w:t>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四、补偿方式和标准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rPr>
          <w:rFonts w:ascii="楷体_GB2312" w:hAnsi="楷体_GB2312" w:eastAsia="楷体_GB2312" w:cs="楷体_GB2312"/>
          <w:b/>
          <w:bCs/>
          <w:kern w:val="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 w:bidi="ar-SA"/>
        </w:rPr>
        <w:t>（一）土地补偿费和安置补助费标准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根据《关于重新公布乌苏市征收农用地区片综合地价标准的通知》（乌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办〔2024〕10号）的规定，征收范围位于我市一、二级区，土地补偿费和安置补助费比例为27%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 w:bidi="ar-SA"/>
        </w:rPr>
        <w:t>: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73%。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土地补偿费归农村集体经济组织所有，安置补助费发放给被安置人员个人。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rPr>
          <w:rFonts w:ascii="Calibri" w:hAnsi="Calibri" w:eastAsia="宋体" w:cs="Times New Roman"/>
          <w:kern w:val="0"/>
          <w:sz w:val="20"/>
          <w:szCs w:val="20"/>
          <w:lang w:eastAsia="zh-CN" w:bidi="ar-SA"/>
        </w:rPr>
      </w:pPr>
      <w:r>
        <w:rPr>
          <w:rFonts w:ascii="Calibri" w:hAnsi="Calibri" w:eastAsia="宋体" w:cs="Times New Roman"/>
          <w:kern w:val="2"/>
          <w:sz w:val="21"/>
          <w:szCs w:val="22"/>
          <w:lang w:eastAsia="zh-CN" w:bidi="ar-SA"/>
        </w:rPr>
        <w:fldChar w:fldCharType="begin"/>
      </w:r>
      <w:r>
        <w:rPr>
          <w:rFonts w:ascii="Calibri" w:hAnsi="Calibri" w:eastAsia="宋体" w:cs="Times New Roman"/>
          <w:kern w:val="2"/>
          <w:sz w:val="21"/>
          <w:szCs w:val="22"/>
          <w:lang w:eastAsia="zh-CN" w:bidi="ar-SA"/>
        </w:rPr>
        <w:instrText xml:space="preserve"> </w:instrText>
      </w:r>
      <w:r>
        <w:rPr>
          <w:rFonts w:hint="eastAsia" w:ascii="Calibri" w:hAnsi="Calibri" w:eastAsia="宋体" w:cs="Times New Roman"/>
          <w:kern w:val="2"/>
          <w:sz w:val="21"/>
          <w:szCs w:val="22"/>
          <w:lang w:eastAsia="zh-CN" w:bidi="ar-SA"/>
        </w:rPr>
        <w:instrText xml:space="preserve">LINK </w:instrText>
      </w:r>
      <w:r>
        <w:rPr>
          <w:rFonts w:ascii="Calibri" w:hAnsi="Calibri" w:eastAsia="宋体" w:cs="Times New Roman"/>
          <w:kern w:val="2"/>
          <w:sz w:val="21"/>
          <w:szCs w:val="22"/>
          <w:lang w:eastAsia="zh-CN" w:bidi="ar-SA"/>
        </w:rPr>
        <w:instrText xml:space="preserve">Excel.Sheet.12</w:instrText>
      </w:r>
      <w:r>
        <w:rPr>
          <w:rFonts w:hint="eastAsia" w:ascii="Calibri" w:hAnsi="Calibri" w:eastAsia="宋体" w:cs="Times New Roman"/>
          <w:kern w:val="2"/>
          <w:sz w:val="21"/>
          <w:szCs w:val="22"/>
          <w:lang w:eastAsia="zh-CN" w:bidi="ar-SA"/>
        </w:rPr>
        <w:instrText xml:space="preserve"> E:\\360MoveData\\Users\\Administrator\\Desktop\\乌苏市征收农用地区综合地价表.xlsx</w:instrText>
      </w:r>
      <w:r>
        <w:rPr>
          <w:rFonts w:ascii="Calibri" w:hAnsi="Calibri" w:eastAsia="宋体" w:cs="Times New Roman"/>
          <w:kern w:val="2"/>
          <w:sz w:val="21"/>
          <w:szCs w:val="22"/>
          <w:lang w:eastAsia="zh-CN" w:bidi="ar-SA"/>
        </w:rPr>
        <w:instrText xml:space="preserve"> Sheet1!R2C1:R8C5 </w:instrText>
      </w:r>
      <w:r>
        <w:rPr>
          <w:rFonts w:hint="eastAsia" w:ascii="Calibri" w:hAnsi="Calibri" w:eastAsia="宋体" w:cs="Times New Roman"/>
          <w:kern w:val="2"/>
          <w:sz w:val="21"/>
          <w:szCs w:val="22"/>
          <w:lang w:eastAsia="zh-CN" w:bidi="ar-SA"/>
        </w:rPr>
        <w:instrText xml:space="preserve">\a \f 4 \h</w:instrText>
      </w:r>
      <w:r>
        <w:rPr>
          <w:rFonts w:ascii="Calibri" w:hAnsi="Calibri" w:eastAsia="宋体" w:cs="Times New Roman"/>
          <w:kern w:val="2"/>
          <w:sz w:val="21"/>
          <w:szCs w:val="22"/>
          <w:lang w:eastAsia="zh-CN" w:bidi="ar-SA"/>
        </w:rPr>
        <w:instrText xml:space="preserve"> </w:instrText>
      </w:r>
      <w:bookmarkStart w:id="0" w:name="_1804428232"/>
      <w:bookmarkEnd w:id="0"/>
      <w:r>
        <w:rPr>
          <w:rFonts w:ascii="Calibri" w:hAnsi="Calibri" w:eastAsia="宋体" w:cs="Times New Roman"/>
          <w:kern w:val="2"/>
          <w:sz w:val="21"/>
          <w:szCs w:val="22"/>
          <w:lang w:eastAsia="zh-CN" w:bidi="ar-SA"/>
        </w:rPr>
        <w:instrText xml:space="preserve"> \* MERGEFORMAT </w:instrText>
      </w:r>
      <w:r>
        <w:rPr>
          <w:rFonts w:ascii="Calibri" w:hAnsi="Calibri" w:eastAsia="宋体" w:cs="Times New Roman"/>
          <w:kern w:val="2"/>
          <w:sz w:val="21"/>
          <w:szCs w:val="22"/>
          <w:lang w:eastAsia="zh-CN" w:bidi="ar-SA"/>
        </w:rPr>
        <w:fldChar w:fldCharType="separate"/>
      </w:r>
    </w:p>
    <w:tbl>
      <w:tblPr>
        <w:tblStyle w:val="4"/>
        <w:tblW w:w="883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683"/>
        <w:gridCol w:w="1170"/>
        <w:gridCol w:w="4469"/>
        <w:gridCol w:w="16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eastAsia="zh-CN" w:bidi="ar-SA"/>
              </w:rPr>
              <w:t>乌苏市征收农用地区片综合地价表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-SA"/>
              </w:rPr>
              <w:t>县（市）名称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-SA"/>
              </w:rPr>
              <w:t>区片级别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  <w:t>乡（镇）</w:t>
            </w:r>
          </w:p>
        </w:tc>
        <w:tc>
          <w:tcPr>
            <w:tcW w:w="4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  <w:t>村队（社区）</w:t>
            </w: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-SA"/>
              </w:rPr>
              <w:t>征地区片综合地价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-SA"/>
              </w:rPr>
              <w:t>元/亩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-SA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-SA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-SA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</w:pPr>
          </w:p>
        </w:tc>
        <w:tc>
          <w:tcPr>
            <w:tcW w:w="4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乌苏市</w:t>
            </w:r>
          </w:p>
        </w:tc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  <w:t>一级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夹河子乡</w:t>
            </w:r>
          </w:p>
        </w:tc>
        <w:tc>
          <w:tcPr>
            <w:tcW w:w="4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红房子村、夹河子乡直属</w:t>
            </w:r>
          </w:p>
        </w:tc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  <w:t>40400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bookmarkStart w:id="1" w:name="OLE_LINK16"/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乌苏市</w:t>
            </w:r>
            <w:bookmarkEnd w:id="1"/>
          </w:p>
        </w:tc>
        <w:tc>
          <w:tcPr>
            <w:tcW w:w="6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  <w:t>二级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皇宫镇</w:t>
            </w:r>
          </w:p>
        </w:tc>
        <w:tc>
          <w:tcPr>
            <w:tcW w:w="4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林家庄子村、泉水沟村、阿克奇村、沙枣林村、老庄子村、石桥村、海子湾村、盐池村、加拿斯拜村、西海子村、皇宫村、皇宫镇镇属土地</w:t>
            </w:r>
          </w:p>
        </w:tc>
        <w:tc>
          <w:tcPr>
            <w:tcW w:w="1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eastAsia="zh-CN" w:bidi="ar-SA"/>
              </w:rPr>
              <w:t>39400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lang w:eastAsia="zh-CN" w:bidi="ar-SA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CN"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四棵树镇</w:t>
            </w:r>
          </w:p>
        </w:tc>
        <w:tc>
          <w:tcPr>
            <w:tcW w:w="4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四棵树村、布如鲁再格德村、查干布拉格村、哈尔莫墩村、赛布库里村、哈勒干布拉格村、哈尔莫墩尼布拉格村、哈达生布拉格村、金库克村、喇嘛寺村、更生村、托古里克布拉格村、四棵树镇镇直属、四棵树镇镇政府驻地、塔布勒合特更生一队</w:t>
            </w:r>
          </w:p>
        </w:tc>
        <w:tc>
          <w:tcPr>
            <w:tcW w:w="1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lang w:eastAsia="zh-CN" w:bidi="ar-SA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CN"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八十四户乡</w:t>
            </w:r>
          </w:p>
        </w:tc>
        <w:tc>
          <w:tcPr>
            <w:tcW w:w="4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转湾湖村、大榆树村、太阳沟村、沙梁子村、麦家梁村</w:t>
            </w:r>
          </w:p>
        </w:tc>
        <w:tc>
          <w:tcPr>
            <w:tcW w:w="1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lang w:eastAsia="zh-CN" w:bidi="ar-SA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CN"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夹河子乡</w:t>
            </w:r>
          </w:p>
        </w:tc>
        <w:tc>
          <w:tcPr>
            <w:tcW w:w="4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夹河子村、邓家湖村、奎河村、三道坪村</w:t>
            </w:r>
          </w:p>
        </w:tc>
        <w:tc>
          <w:tcPr>
            <w:tcW w:w="1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  <w:szCs w:val="22"/>
                <w:lang w:eastAsia="zh-CN" w:bidi="ar-SA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eastAsia="zh-CN"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九间楼乡</w:t>
            </w:r>
          </w:p>
        </w:tc>
        <w:tc>
          <w:tcPr>
            <w:tcW w:w="4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 w:bidi="ar-SA"/>
              </w:rPr>
              <w:t>黄渠村、刑家庄子村、詹家庄子村、毕家庄子村、七户地村</w:t>
            </w:r>
          </w:p>
        </w:tc>
        <w:tc>
          <w:tcPr>
            <w:tcW w:w="1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  <w:szCs w:val="22"/>
                <w:lang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楷体_GB2312" w:hAnsi="楷体_GB2312" w:eastAsia="楷体_GB2312" w:cs="楷体_GB2312"/>
          <w:b/>
          <w:bCs/>
          <w:kern w:val="2"/>
          <w:sz w:val="32"/>
          <w:szCs w:val="32"/>
          <w:lang w:eastAsia="zh-CN" w:bidi="ar-SA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eastAsia="zh-CN" w:bidi="ar-SA"/>
        </w:rPr>
        <w:fldChar w:fldCharType="end"/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 w:bidi="ar-SA"/>
        </w:rPr>
        <w:t>（二）青苗补偿标准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按《关于公布实施自治区征地统一年产值标准的通知》（新国土资发〔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2011〕19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号）的规定执行。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rPr>
          <w:rFonts w:ascii="楷体_GB2312" w:hAnsi="楷体_GB2312" w:eastAsia="楷体_GB2312" w:cs="楷体_GB2312"/>
          <w:b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eastAsia="zh-CN" w:bidi="ar-SA"/>
        </w:rPr>
        <w:t>（三）地上附着物补偿标准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FF0000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地上附着物补偿按《乌苏市集体所有土地上建（构）筑物等地上附着物征收补偿参考标准的通知》（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乌政办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〔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13号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规定执行。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 w:bidi="ar-SA"/>
        </w:rPr>
        <w:t>（四）涉及农村村民住宅和其他房屋的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遵照《乌苏市集体所有土地上建（构）筑物等地上附着物征收补偿参考标准的通知》（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乌政办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〔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13号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的规定执行，相关事项见《乌苏机场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建设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项目（房屋）征地补偿安置方案》。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五、安置对象、方式及社会保障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本次征收土地涉及被征地农民的安置和社会保障按照《关于完善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自治区被征地农民参加基本养老保险有关政策的通知》（新人社发〔2017〕86号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、《关于印发自治区被征地农民参加基本养老保险实施细则的通知》（新人社发〔2018〕14号）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文件的规定执行。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特此公告。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5120" w:firstLineChars="1600"/>
        <w:jc w:val="both"/>
        <w:rPr>
          <w:rFonts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乌苏市人民政府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5120" w:firstLineChars="16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2025年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240" w:lineRule="auto"/>
        <w:ind w:firstLine="0" w:firstLineChars="0"/>
        <w:jc w:val="both"/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53B44606"/>
    <w:rsid w:val="10914417"/>
    <w:rsid w:val="12A25F01"/>
    <w:rsid w:val="1E626E51"/>
    <w:rsid w:val="220628F4"/>
    <w:rsid w:val="23E7569C"/>
    <w:rsid w:val="3E9A7043"/>
    <w:rsid w:val="3F892AD4"/>
    <w:rsid w:val="423640BA"/>
    <w:rsid w:val="42CA341E"/>
    <w:rsid w:val="534C2966"/>
    <w:rsid w:val="53B44606"/>
    <w:rsid w:val="5F16232C"/>
    <w:rsid w:val="61AB5662"/>
    <w:rsid w:val="6259503E"/>
    <w:rsid w:val="6C786F8C"/>
    <w:rsid w:val="6F05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880" w:firstLineChars="200"/>
    </w:pPr>
    <w:rPr>
      <w:rFonts w:ascii="Microsoft JhengHei Light" w:hAnsi="Microsoft JhengHei Light" w:eastAsia="仿宋_GB2312" w:cs="Microsoft JhengHei Light"/>
      <w:color w:val="000000"/>
      <w:sz w:val="32"/>
      <w:szCs w:val="24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 w:firstLineChars="200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customStyle="1" w:styleId="6">
    <w:name w:val="正文文本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color w:val="454543"/>
      <w:sz w:val="28"/>
      <w:szCs w:val="2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2690</Words>
  <Characters>3106</Characters>
  <Lines>0</Lines>
  <Paragraphs>0</Paragraphs>
  <TotalTime>20</TotalTime>
  <ScaleCrop>false</ScaleCrop>
  <LinksUpToDate>false</LinksUpToDate>
  <CharactersWithSpaces>3131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2025-03-28T03:00:00Z</dcterms:created>
  <dc:creator>17319</dc:creator>
  <cp:lastModifiedBy>喜文</cp:lastModifiedBy>
  <cp:lastPrinted>2025-03-28T12:11:00Z</cp:lastPrinted>
  <dcterms:modified xsi:type="dcterms:W3CDTF">2025-05-30T11:20:51Z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14BA298C63094E179E206D74E51BE886_13</vt:lpwstr>
  </property>
</Properties>
</file>