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highlight w:val="none"/>
          <w:u w:val="none"/>
          <w:lang w:val="en-US" w:eastAsia="zh-CN"/>
        </w:rPr>
        <w:t>塔</w:t>
      </w:r>
      <w:r>
        <w:rPr>
          <w:rFonts w:hint="eastAsia" w:ascii="Times New Roman" w:hAnsi="Times New Roman" w:eastAsia="仿宋_GB2312" w:cs="仿宋_GB2312"/>
          <w:bCs/>
          <w:color w:val="000000"/>
          <w:sz w:val="32"/>
          <w:szCs w:val="32"/>
          <w:highlight w:val="none"/>
          <w:u w:val="none"/>
          <w:lang w:eastAsia="zh-CN"/>
        </w:rPr>
        <w:t>乌</w:t>
      </w:r>
      <w:r>
        <w:rPr>
          <w:rFonts w:hint="eastAsia" w:ascii="Times New Roman" w:hAnsi="仿宋_GB2312" w:eastAsia="仿宋_GB2312" w:cs="仿宋_GB2312"/>
          <w:bCs/>
          <w:color w:val="000000"/>
          <w:sz w:val="32"/>
          <w:szCs w:val="32"/>
          <w:highlight w:val="none"/>
          <w:u w:val="none"/>
        </w:rPr>
        <w:t>市</w:t>
      </w:r>
      <w:r>
        <w:rPr>
          <w:rFonts w:hint="eastAsia" w:ascii="Times New Roman" w:hAnsi="仿宋_GB2312" w:eastAsia="仿宋_GB2312" w:cs="仿宋_GB2312"/>
          <w:bCs/>
          <w:color w:val="000000"/>
          <w:sz w:val="32"/>
          <w:szCs w:val="32"/>
          <w:u w:val="none"/>
        </w:rPr>
        <w:t>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80</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bCs/>
          <w:sz w:val="32"/>
          <w:szCs w:val="32"/>
          <w:lang w:eastAsia="zh-CN"/>
        </w:rPr>
        <w:t>新疆颐仁堂医药连锁乌苏市第二百六十二店</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pacing w:val="0"/>
          <w:sz w:val="32"/>
          <w:szCs w:val="32"/>
          <w:u w:val="none"/>
          <w:lang w:val="en-US" w:eastAsia="zh-CN"/>
        </w:rPr>
        <w:t>药品经营许可证</w:t>
      </w:r>
      <w:r>
        <w:rPr>
          <w:rFonts w:hint="default" w:ascii="Times New Roman" w:hAnsi="Times New Roman" w:eastAsia="仿宋_GB2312" w:cs="Times New Roman"/>
          <w:spacing w:val="0"/>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eastAsia" w:ascii="Times New Roman" w:hAnsi="Times New Roman" w:eastAsia="仿宋_GB2312" w:cs="Times New Roman"/>
          <w:spacing w:val="0"/>
          <w:sz w:val="32"/>
          <w:szCs w:val="32"/>
          <w:u w:val="none"/>
          <w:lang w:val="en-US" w:eastAsia="zh-CN"/>
        </w:rPr>
        <w:t>：</w:t>
      </w:r>
      <w:r>
        <w:rPr>
          <w:rFonts w:hint="default" w:ascii="Times New Roman" w:hAnsi="Times New Roman" w:eastAsia="仿宋_GB2312" w:cs="Times New Roman"/>
          <w:spacing w:val="0"/>
          <w:sz w:val="32"/>
          <w:szCs w:val="32"/>
          <w:u w:val="none" w:color="auto"/>
          <w:lang w:val="en-US" w:eastAsia="zh-CN"/>
        </w:rPr>
        <w:t>91654202MA7AAGFY0N</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color w:val="auto"/>
          <w:spacing w:val="-2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spacing w:val="-20"/>
          <w:sz w:val="32"/>
          <w:szCs w:val="32"/>
          <w:u w:val="none" w:color="auto"/>
          <w:lang w:val="en-US" w:eastAsia="zh-CN"/>
        </w:rPr>
        <w:t>新疆塔城地区乌苏市哈图布呼镇北京东路064号</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经营者：</w:t>
      </w:r>
      <w:r>
        <w:rPr>
          <w:rFonts w:hint="default" w:ascii="Times New Roman" w:hAnsi="Times New Roman" w:eastAsia="仿宋_GB2312" w:cs="Times New Roman"/>
          <w:spacing w:val="0"/>
          <w:sz w:val="32"/>
          <w:szCs w:val="32"/>
          <w:u w:val="none" w:color="auto"/>
          <w:lang w:val="en-US" w:eastAsia="zh-CN"/>
        </w:rPr>
        <w:t>见</w:t>
      </w:r>
      <w:r>
        <w:rPr>
          <w:rFonts w:hint="eastAsia" w:ascii="Times New Roman" w:hAnsi="Times New Roman" w:eastAsia="仿宋_GB2312" w:cs="Times New Roman"/>
          <w:spacing w:val="0"/>
          <w:sz w:val="32"/>
          <w:szCs w:val="32"/>
          <w:u w:val="none" w:color="auto"/>
          <w:lang w:val="en-US" w:eastAsia="zh-CN"/>
        </w:rPr>
        <w:t>**</w:t>
      </w:r>
      <w:r>
        <w:rPr>
          <w:rFonts w:hint="eastAsia" w:ascii="Times New Roman" w:hAnsi="Times New Roman" w:eastAsia="仿宋_GB2312" w:cs="Times New Roman"/>
          <w:bCs/>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2025年3月12日，我局执法人员在位于</w:t>
      </w:r>
      <w:r>
        <w:rPr>
          <w:rFonts w:hint="eastAsia" w:ascii="仿宋_GB2312" w:hAnsi="仿宋_GB2312" w:eastAsia="仿宋_GB2312" w:cs="仿宋_GB2312"/>
          <w:spacing w:val="0"/>
          <w:sz w:val="32"/>
          <w:szCs w:val="32"/>
          <w:u w:val="none" w:color="auto"/>
          <w:lang w:val="en-US" w:eastAsia="zh-CN"/>
        </w:rPr>
        <w:t>新疆塔城地区乌苏市哈图布呼镇北京东路064号的</w:t>
      </w:r>
      <w:r>
        <w:rPr>
          <w:rFonts w:hint="eastAsia" w:ascii="仿宋_GB2312" w:hAnsi="仿宋_GB2312" w:eastAsia="仿宋_GB2312" w:cs="仿宋_GB2312"/>
          <w:sz w:val="32"/>
          <w:szCs w:val="32"/>
          <w:lang w:val="en-US" w:eastAsia="zh-CN"/>
        </w:rPr>
        <w:t>新疆颐仁堂医药连锁乌苏市第二百六十二店进行药品经营许可证换证现场验收检查，检查时该公司正常经营，工作人员3人，该公司法定代表人见**不在场，企业负责人兼质量负责人张**在现场配合执法人员检查，执法人员向当事人出示执法证说明来意。现场检查情况如下：1、店内工作人员2人未穿工作服和未佩戴工作牌在店内从事药品经营活动；2、执法人员在该公司经营场所现场抽取处方药达格列净片，药品上市许可持有人：阿斯利康药业（中国）有限公司，批号：2409A59，该公司购进10盒，销售记录显示销售8盒，实际库存剩余1盒；3、执法人员现场检查发现质量负责人兼执业药师长期不在店内履行职责，其岗位职责由他人代为履行；4、执法人员检查该公司的档案时，发现该公司未建立员工健康档案，未制定年度健康检查计划；5、执法人员调取该公司培训记录，发现记录不完善，从业人员未接受岗前培训</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继续教育培训；6、</w:t>
      </w:r>
      <w:r>
        <w:rPr>
          <w:rFonts w:hint="eastAsia" w:ascii="仿宋_GB2312" w:hAnsi="仿宋_GB2312" w:eastAsia="仿宋_GB2312" w:cs="仿宋_GB2312"/>
          <w:bCs/>
          <w:sz w:val="32"/>
          <w:szCs w:val="32"/>
          <w:u w:val="none"/>
          <w:lang w:val="en-US" w:eastAsia="zh-CN"/>
        </w:rPr>
        <w:t>店内标识为“含麻黄碱复方制剂专柜”的陈列柜内，陈列有药品：（1）小儿氨酚黄那敏颗粒，标签标示批准文号：国药准字H36022035，上市许可持有人：江西药都樟树制药有限公司，批号：231005，贮藏：密封，在阴凉（不超过20℃）干燥处保存；（2）麻杏止咳糖浆，标签标示国药准字Z45022214，上市许可持有人：荣康集团广西康世缘制药有限公司，批号：240303，贮藏：密封，置阴凉处（不超过20℃），该陈列柜实时温度为21.7℃，上述两种药品均未按储存要求陈列药品</w:t>
      </w:r>
      <w:r>
        <w:rPr>
          <w:rFonts w:hint="eastAsia" w:ascii="仿宋_GB2312" w:hAnsi="仿宋_GB2312" w:eastAsia="仿宋_GB2312" w:cs="仿宋_GB2312"/>
          <w:sz w:val="32"/>
          <w:szCs w:val="32"/>
          <w:lang w:val="en-US" w:eastAsia="zh-CN"/>
        </w:rPr>
        <w:t>；7、执法人员调取“千里眼”智慧监管平台发现，一男子在店内从事药品销售活动，但员工花名册无此人</w:t>
      </w:r>
      <w:r>
        <w:rPr>
          <w:rFonts w:hint="eastAsia" w:ascii="仿宋_GB2312" w:hAnsi="仿宋_GB2312" w:eastAsia="仿宋_GB2312" w:cs="仿宋_GB2312"/>
          <w:sz w:val="32"/>
          <w:szCs w:val="32"/>
          <w:lang w:eastAsia="zh-CN"/>
        </w:rPr>
        <w:t>，也未见此人上岗培训记录以及继续教育培训</w:t>
      </w:r>
      <w:r>
        <w:rPr>
          <w:rFonts w:hint="eastAsia" w:ascii="仿宋_GB2312" w:hAnsi="仿宋_GB2312" w:eastAsia="仿宋_GB2312" w:cs="仿宋_GB2312"/>
          <w:sz w:val="32"/>
          <w:szCs w:val="32"/>
          <w:lang w:val="en-US" w:eastAsia="zh-CN"/>
        </w:rPr>
        <w:t>。当事人未遵守《药品经营质量管理规范》第一百二十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条、第一百二十七条、第一百二十八条、</w:t>
      </w:r>
      <w:r>
        <w:rPr>
          <w:rFonts w:hint="eastAsia" w:ascii="仿宋_GB2312" w:hAnsi="仿宋_GB2312" w:eastAsia="仿宋_GB2312" w:cs="仿宋_GB2312"/>
          <w:sz w:val="32"/>
          <w:szCs w:val="32"/>
          <w:lang w:eastAsia="zh-CN"/>
        </w:rPr>
        <w:t>第一百三十条、</w:t>
      </w:r>
      <w:r>
        <w:rPr>
          <w:rFonts w:hint="eastAsia" w:ascii="仿宋_GB2312" w:hAnsi="仿宋_GB2312" w:eastAsia="仿宋_GB2312" w:cs="仿宋_GB2312"/>
          <w:sz w:val="32"/>
          <w:szCs w:val="32"/>
          <w:lang w:val="en-US" w:eastAsia="zh-CN"/>
        </w:rPr>
        <w:t>第一百三十一条、第一百三十七条、第一百六十一条第一项</w:t>
      </w:r>
      <w:r>
        <w:rPr>
          <w:rFonts w:hint="eastAsia" w:ascii="仿宋_GB2312" w:hAnsi="仿宋_GB2312" w:eastAsia="仿宋_GB2312" w:cs="仿宋_GB2312"/>
          <w:sz w:val="32"/>
          <w:szCs w:val="32"/>
          <w:lang w:eastAsia="zh-CN"/>
        </w:rPr>
        <w:t>、第一百六十六条、</w:t>
      </w:r>
      <w:r>
        <w:rPr>
          <w:rFonts w:hint="eastAsia" w:ascii="仿宋_GB2312" w:hAnsi="仿宋_GB2312" w:eastAsia="仿宋_GB2312" w:cs="仿宋_GB2312"/>
          <w:sz w:val="32"/>
          <w:szCs w:val="32"/>
          <w:lang w:val="en-US" w:eastAsia="zh-CN"/>
        </w:rPr>
        <w:t>第一百六十七条第一项、第二项</w:t>
      </w:r>
      <w:r>
        <w:rPr>
          <w:rFonts w:hint="eastAsia" w:ascii="仿宋_GB2312" w:hAnsi="仿宋_GB2312" w:eastAsia="仿宋_GB2312" w:cs="仿宋_GB2312"/>
          <w:sz w:val="32"/>
          <w:szCs w:val="32"/>
          <w:lang w:eastAsia="zh-CN"/>
        </w:rPr>
        <w:t>和第一百七十二条</w:t>
      </w:r>
      <w:r>
        <w:rPr>
          <w:rFonts w:hint="eastAsia" w:ascii="仿宋_GB2312" w:hAnsi="仿宋_GB2312" w:eastAsia="仿宋_GB2312" w:cs="仿宋_GB2312"/>
          <w:sz w:val="32"/>
          <w:szCs w:val="32"/>
          <w:lang w:val="en-US" w:eastAsia="zh-CN"/>
        </w:rPr>
        <w:t>的规定经营药品的行为，涉嫌违反了《中华人民共和国药品管理法》第五十三条第一款的规定。</w:t>
      </w:r>
      <w:r>
        <w:rPr>
          <w:rFonts w:hint="eastAsia" w:ascii="仿宋_GB2312" w:hAnsi="仿宋_GB2312" w:eastAsia="仿宋_GB2312" w:cs="仿宋_GB2312"/>
          <w:color w:val="auto"/>
          <w:sz w:val="32"/>
          <w:szCs w:val="32"/>
          <w:lang w:val="en-US" w:eastAsia="zh-CN"/>
        </w:rPr>
        <w:t>为进一步了解情况，经报局领导批准，于2025年3月17日立案，并指派江恩里·阿依可加、孙紫玮对此案进行调查了解。本案于2025年3月2</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仿宋_GB2312" w:hAnsi="仿宋_GB2312" w:eastAsia="仿宋_GB2312" w:cs="仿宋_GB2312"/>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lang w:val="en-US" w:eastAsia="zh-CN"/>
        </w:rPr>
        <w:t>2025年3月12日，我局执法人员在新疆颐仁堂医药连锁乌苏市第二百六十二店监督检查时，发现店内</w:t>
      </w:r>
      <w:r>
        <w:rPr>
          <w:rFonts w:hint="eastAsia" w:ascii="仿宋_GB2312" w:hAnsi="仿宋_GB2312" w:eastAsia="仿宋_GB2312" w:cs="仿宋_GB2312"/>
          <w:sz w:val="32"/>
          <w:szCs w:val="32"/>
          <w:lang w:eastAsia="zh-CN"/>
        </w:rPr>
        <w:t>2名</w:t>
      </w:r>
      <w:r>
        <w:rPr>
          <w:rFonts w:hint="eastAsia" w:ascii="仿宋_GB2312" w:hAnsi="仿宋_GB2312" w:eastAsia="仿宋_GB2312" w:cs="仿宋_GB2312"/>
          <w:sz w:val="32"/>
          <w:szCs w:val="32"/>
          <w:lang w:val="en-US" w:eastAsia="zh-CN"/>
        </w:rPr>
        <w:t>工作人员未穿工作服和未佩戴工作牌在店内从事药品经营活动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当事人未制定2025年度健康检查计划，未建立从业人员健康档案；该公司</w:t>
      </w:r>
      <w:r>
        <w:rPr>
          <w:rFonts w:hint="eastAsia" w:ascii="仿宋_GB2312" w:hAnsi="仿宋_GB2312" w:eastAsia="仿宋_GB2312" w:cs="仿宋_GB2312"/>
          <w:sz w:val="32"/>
          <w:szCs w:val="32"/>
          <w:lang w:eastAsia="zh-CN"/>
        </w:rPr>
        <w:t>培训记录不完善，</w:t>
      </w:r>
      <w:r>
        <w:rPr>
          <w:rFonts w:hint="eastAsia" w:ascii="仿宋_GB2312" w:hAnsi="仿宋_GB2312" w:eastAsia="仿宋_GB2312" w:cs="仿宋_GB2312"/>
          <w:sz w:val="32"/>
          <w:szCs w:val="32"/>
          <w:lang w:val="en-US" w:eastAsia="zh-CN"/>
        </w:rPr>
        <w:t>从业人员吴**未接受岗前培训与继续教育培训；执法人员现场调取店内监控，发现质量负责人兼执业药师张翠华，从2025年1月至3月长期不在店内履行职责，当场询问张**本人</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lang w:val="en-US" w:eastAsia="zh-CN"/>
        </w:rPr>
        <w:t>对质量管理职责不清晰，经查看电脑系统发现执业药师不在岗期间一直在销售处方药，查询1月至3月验收记录显示验收人员为张**，其岗位职责由他人代为履行；执法人员在该公司经营场所现场抽取处方药：达格列净片，药品上市许可持有人：阿斯利康药业（中国）有限公司，批号：2409A59，该公司购进10盒，销售记录显示销售8盒，实际库存剩余1盒，</w:t>
      </w:r>
      <w:r>
        <w:rPr>
          <w:rFonts w:hint="eastAsia" w:ascii="仿宋_GB2312" w:hAnsi="仿宋_GB2312" w:eastAsia="仿宋_GB2312" w:cs="仿宋_GB2312"/>
          <w:color w:val="auto"/>
          <w:sz w:val="32"/>
          <w:szCs w:val="32"/>
          <w:lang w:val="en-US" w:eastAsia="zh-CN"/>
        </w:rPr>
        <w:t>店员口述，其中1盒被店内工作人员自用未</w:t>
      </w:r>
      <w:r>
        <w:rPr>
          <w:rFonts w:hint="eastAsia" w:ascii="仿宋_GB2312" w:hAnsi="仿宋_GB2312" w:eastAsia="仿宋_GB2312" w:cs="仿宋_GB2312"/>
          <w:sz w:val="32"/>
          <w:szCs w:val="32"/>
          <w:lang w:val="en-US" w:eastAsia="zh-CN"/>
        </w:rPr>
        <w:t>做记录，现场提供了开封使用的药盒；在</w:t>
      </w:r>
      <w:r>
        <w:rPr>
          <w:rFonts w:hint="eastAsia" w:ascii="仿宋_GB2312" w:hAnsi="仿宋_GB2312" w:eastAsia="仿宋_GB2312" w:cs="仿宋_GB2312"/>
          <w:bCs/>
          <w:sz w:val="32"/>
          <w:szCs w:val="32"/>
          <w:u w:val="none"/>
          <w:lang w:val="en-US" w:eastAsia="zh-CN"/>
        </w:rPr>
        <w:t>店内标识为“含麻黄碱复方制剂专柜”陈列柜中有药品：（1）小儿氨酚黄那敏颗粒，标签标示批准文号：国药准字H36022035，上市许可持有人：江西药都樟树制药有限公司，批号：231005，贮藏：密封，在阴凉（不超过20℃）干燥处保存；（2）麻杏止咳糖浆，标签标示国药准字Z45022214，上市许可持有人：荣康集团广西康世缘制药有限公司，批号：240303，贮藏：密封，置阴凉处（不超过20℃），该陈列柜实时温度为21.7℃</w:t>
      </w:r>
      <w:r>
        <w:rPr>
          <w:rFonts w:hint="eastAsia" w:ascii="仿宋_GB2312" w:hAnsi="仿宋_GB2312" w:eastAsia="仿宋_GB2312" w:cs="仿宋_GB2312"/>
          <w:sz w:val="32"/>
          <w:szCs w:val="32"/>
          <w:lang w:val="en-US" w:eastAsia="zh-CN"/>
        </w:rPr>
        <w:t>，未按药品储存要求陈列药品。当事人的上述行为已构成未遵守《药品经营质量管理规范》</w:t>
      </w:r>
      <w:r>
        <w:rPr>
          <w:rFonts w:hint="eastAsia" w:ascii="仿宋_GB2312" w:hAnsi="仿宋_GB2312" w:eastAsia="仿宋_GB2312" w:cs="仿宋_GB2312"/>
          <w:bCs/>
          <w:sz w:val="32"/>
          <w:szCs w:val="32"/>
          <w:lang w:val="en-US" w:eastAsia="zh-CN"/>
        </w:rPr>
        <w:t>经营药品的违法行为。</w:t>
      </w:r>
      <w:r>
        <w:rPr>
          <w:rFonts w:hint="eastAsia" w:ascii="仿宋_GB2312" w:hAnsi="仿宋_GB2312" w:eastAsia="仿宋_GB2312" w:cs="仿宋_GB2312"/>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证明当事人的主体经营资格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法定代表人和质量负责人身份证复印件各1份，由当事人提供，证明当事人身份信息与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核准的信息相符；</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当事人提供的授权委托书1份，证明委托人、受委托人的基本情况以及委托事项、权限、期限；</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w:t>
      </w:r>
      <w:bookmarkStart w:id="3" w:name="_GoBack"/>
      <w:bookmarkEnd w:id="3"/>
      <w:r>
        <w:rPr>
          <w:rFonts w:hint="default" w:ascii="Times New Roman" w:hAnsi="Times New Roman" w:eastAsia="仿宋_GB2312" w:cs="Times New Roman"/>
          <w:color w:val="000000"/>
          <w:sz w:val="32"/>
          <w:szCs w:val="32"/>
        </w:rPr>
        <w:t>执法人员于202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未遵守《药品经营质量管理规范》经营药品的事实；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现场检查照片</w:t>
      </w:r>
      <w:r>
        <w:rPr>
          <w:rFonts w:hint="default" w:ascii="Times New Roman" w:hAnsi="Times New Roman" w:eastAsia="仿宋_GB2312" w:cs="Times New Roman"/>
          <w:sz w:val="32"/>
          <w:szCs w:val="32"/>
          <w:u w:val="none"/>
          <w:lang w:val="en-US" w:eastAsia="zh-CN"/>
        </w:rPr>
        <w:t>4张、“千里眼”智慧监管平台巡查截图2张，音像视频资料1份，证明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2025年3月12日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和调取的相关记录的事实</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我局于202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lang w:val="en-US" w:eastAsia="zh-CN"/>
        </w:rPr>
        <w:t>日依法向当事人送达了《行政处罚告知书》（</w:t>
      </w:r>
      <w:r>
        <w:rPr>
          <w:rFonts w:hint="eastAsia" w:ascii="Times New Roman" w:hAnsi="Times New Roman" w:eastAsia="仿宋_GB2312" w:cs="Times New Roman"/>
          <w:color w:val="000000"/>
          <w:sz w:val="32"/>
          <w:szCs w:val="32"/>
          <w:highlight w:val="none"/>
          <w:lang w:val="en-US" w:eastAsia="zh-CN"/>
        </w:rPr>
        <w:t>塔</w:t>
      </w:r>
      <w:r>
        <w:rPr>
          <w:rFonts w:hint="default" w:ascii="Times New Roman" w:hAnsi="Times New Roman" w:eastAsia="仿宋_GB2312" w:cs="Times New Roman"/>
          <w:color w:val="000000"/>
          <w:sz w:val="32"/>
          <w:szCs w:val="32"/>
          <w:highlight w:val="none"/>
          <w:lang w:val="en-US" w:eastAsia="zh-CN"/>
        </w:rPr>
        <w:t>乌市</w:t>
      </w:r>
      <w:r>
        <w:rPr>
          <w:rFonts w:hint="default" w:ascii="Times New Roman" w:hAnsi="Times New Roman" w:eastAsia="仿宋_GB2312" w:cs="Times New Roman"/>
          <w:color w:val="000000"/>
          <w:sz w:val="32"/>
          <w:szCs w:val="32"/>
          <w:lang w:val="en-US" w:eastAsia="zh-CN"/>
        </w:rPr>
        <w:t>监罚告〔202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〕74号），告知了当事人依法享有陈述、申辩的权利，当事人在法定期限内未提出陈述、申辩，视为放弃此权利</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当事人的上述行为不符合</w:t>
      </w:r>
      <w:r>
        <w:rPr>
          <w:rFonts w:hint="default" w:ascii="Times New Roman" w:hAnsi="Times New Roman" w:eastAsia="仿宋_GB2312" w:cs="Times New Roman"/>
          <w:sz w:val="32"/>
          <w:szCs w:val="32"/>
          <w:lang w:val="en-US" w:eastAsia="zh-CN"/>
        </w:rPr>
        <w:t>《药品经营质量管理规范》第一百二十二条“</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负责人是药品质量的主要责任人，负责企业日常管理，负责提供必要的条件，保证质量管理部门和质量管理人员有效履行职责，确保企业按照本规范要求经营药品。”、第一百二十七条“企业各岗位人员应当接受相关法律法规及药品专业知识与技能的岗前培训和继续培训，以符合本规范要求。”、第一百二十八条“企业应当按照培训管理制度制定年度培训计划并开展培训，使相关人员能正确理解并履行职责。培训工作应当做好记录并建立档案。”、第一百三十条“在营业场所内，企业工作人员应当穿着整洁、卫生的工作服。”、第一百三十一条“企业应当对直接接触药品岗位的人员进行岗前及年度健康检查，并建立健康档案。患有传染病或者其他可能污染药品的疾病的，不得从事直接接触药品的工作。”、第一百三十七条“质量管理岗位、处方审核岗位的职责不得由其他人员代为履行。”、第一百六十一条第一项“药品的陈列应当符合以下要求：（一）按剂型、用途以及储存要求分类陈列，并设置醒目标志，类别标签字迹清晰、放置准确。”、第一百六十六条“营业人员应当佩戴有照片、姓名、岗位等内容的工作牌，是执业药师和药学技术人员的，工作牌还应当标明执业资格或者药学专业技术职称。在岗执业的执业药师应当</w:t>
      </w:r>
      <w:r>
        <w:rPr>
          <w:rFonts w:hint="default" w:ascii="Times New Roman" w:hAnsi="Times New Roman" w:eastAsia="仿宋_GB2312" w:cs="Times New Roman"/>
          <w:sz w:val="32"/>
          <w:szCs w:val="32"/>
          <w:highlight w:val="none"/>
          <w:lang w:val="en-US" w:eastAsia="zh-CN"/>
        </w:rPr>
        <w:t>挂牌明示</w:t>
      </w:r>
      <w:r>
        <w:rPr>
          <w:rFonts w:hint="default" w:ascii="Times New Roman" w:hAnsi="Times New Roman" w:eastAsia="仿宋_GB2312" w:cs="Times New Roman"/>
          <w:sz w:val="32"/>
          <w:szCs w:val="32"/>
          <w:lang w:val="en-US" w:eastAsia="zh-CN"/>
        </w:rPr>
        <w:t>。”、第一百六十七条第一、二项“销售药品应当符合以下要求：（一）处方经执业药师审核后方可调配；对处方所列药品不得擅自更改或者代用，对有配伍禁忌或者超剂量的处方，应当拒绝调配，但经医师更正或者重新签字确认的，可以调配；调配处方后经过核对方可销售。（二）处方审核、调配、核对人员应当在处方上签字或者盖章，并按照有关规定保存处方或者其复印件。”、第一百七十二条“非本企业在职人员不得在营业场所内从事药品销售相关活动”的规定，</w:t>
      </w:r>
      <w:r>
        <w:rPr>
          <w:rFonts w:hint="default" w:ascii="Times New Roman" w:hAnsi="Times New Roman" w:eastAsia="仿宋_GB2312" w:cs="Times New Roman"/>
          <w:color w:val="000000"/>
          <w:sz w:val="32"/>
          <w:szCs w:val="32"/>
          <w:lang w:val="en-US" w:eastAsia="zh-CN"/>
        </w:rPr>
        <w:t>违反</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w:t>
      </w:r>
      <w:r>
        <w:rPr>
          <w:rFonts w:hint="eastAsia" w:ascii="Times New Roman" w:hAnsi="Times New Roman" w:eastAsia="仿宋_GB2312" w:cs="Times New Roman"/>
          <w:i w:val="0"/>
          <w:caps w:val="0"/>
          <w:color w:val="000000"/>
          <w:spacing w:val="0"/>
          <w:kern w:val="0"/>
          <w:sz w:val="32"/>
          <w:szCs w:val="32"/>
          <w:lang w:val="en-US" w:eastAsia="zh-CN" w:bidi="ar"/>
        </w:rPr>
        <w:t>动的</w:t>
      </w:r>
      <w:r>
        <w:rPr>
          <w:rFonts w:hint="default" w:ascii="Times New Roman" w:hAnsi="Times New Roman" w:eastAsia="仿宋_GB2312" w:cs="Times New Roman"/>
          <w:i w:val="0"/>
          <w:caps w:val="0"/>
          <w:color w:val="000000"/>
          <w:spacing w:val="0"/>
          <w:kern w:val="0"/>
          <w:sz w:val="32"/>
          <w:szCs w:val="32"/>
          <w:lang w:val="en-US" w:eastAsia="zh-CN" w:bidi="ar"/>
        </w:rPr>
        <w:t>，应当遵守药品经营质量管理规范，建立健全药品经营质量管理体系，保证药品经营全过程持续符合法定要求。”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的规定，构成了未遵守《药品经营质量管理规范》经营药品的违法经营行为。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鉴于当事人系初次违法，在案件办理过程中态度端正，积极主动配合执法人员调查取证，如实陈述违法事实，主动提供证据材料，积极开展自查整改，依法作出行政处理决定。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lang w:val="en-US" w:eastAsia="zh-CN"/>
        </w:rPr>
        <w:t>警告。</w:t>
      </w:r>
      <w:r>
        <w:rPr>
          <w:rFonts w:hint="default" w:ascii="Times New Roman" w:hAnsi="Times New Roman" w:eastAsia="仿宋_GB2312" w:cs="Times New Roman"/>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default"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jc w:val="righ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right="0" w:rightChars="0"/>
        <w:jc w:val="center"/>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12B1219"/>
    <w:rsid w:val="03B923FF"/>
    <w:rsid w:val="073F2CB4"/>
    <w:rsid w:val="0D5C48E1"/>
    <w:rsid w:val="0D8E2469"/>
    <w:rsid w:val="0FA22032"/>
    <w:rsid w:val="13E65039"/>
    <w:rsid w:val="14D902A4"/>
    <w:rsid w:val="158D2FC5"/>
    <w:rsid w:val="177137D4"/>
    <w:rsid w:val="1AFA04EA"/>
    <w:rsid w:val="1BE3662C"/>
    <w:rsid w:val="204D1A8C"/>
    <w:rsid w:val="247753E3"/>
    <w:rsid w:val="27046DAD"/>
    <w:rsid w:val="2A2824A4"/>
    <w:rsid w:val="2AD55FB6"/>
    <w:rsid w:val="2BD37F90"/>
    <w:rsid w:val="335B5627"/>
    <w:rsid w:val="37180D61"/>
    <w:rsid w:val="39655905"/>
    <w:rsid w:val="3AA131BE"/>
    <w:rsid w:val="3CB4251D"/>
    <w:rsid w:val="3CDD62DF"/>
    <w:rsid w:val="4AD14201"/>
    <w:rsid w:val="4CD75102"/>
    <w:rsid w:val="53431472"/>
    <w:rsid w:val="54437273"/>
    <w:rsid w:val="5A457B6A"/>
    <w:rsid w:val="5A47527A"/>
    <w:rsid w:val="5BD7425A"/>
    <w:rsid w:val="5FD10DB7"/>
    <w:rsid w:val="60607DAB"/>
    <w:rsid w:val="61AA08C9"/>
    <w:rsid w:val="64533449"/>
    <w:rsid w:val="682637C7"/>
    <w:rsid w:val="69FA09CA"/>
    <w:rsid w:val="6A743B2D"/>
    <w:rsid w:val="6D4270CF"/>
    <w:rsid w:val="6F8D2724"/>
    <w:rsid w:val="71C05B30"/>
    <w:rsid w:val="72D7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3612</Words>
  <Characters>3781</Characters>
  <Lines>0</Lines>
  <Paragraphs>0</Paragraphs>
  <TotalTime>12</TotalTime>
  <ScaleCrop>false</ScaleCrop>
  <LinksUpToDate>false</LinksUpToDate>
  <CharactersWithSpaces>3840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2025-01-06T05:36:00Z</cp:lastPrinted>
  <dcterms:modified xsi:type="dcterms:W3CDTF">2025-06-25T09:18:50Z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